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7834" w14:textId="77777777" w:rsidR="00205993" w:rsidRPr="00721934" w:rsidRDefault="00205993" w:rsidP="00205993">
      <w:pPr>
        <w:shd w:val="clear" w:color="auto" w:fill="FFFF00"/>
        <w:rPr>
          <w:rFonts w:ascii="Calibri" w:hAnsi="Calibri"/>
          <w:b/>
          <w:i/>
          <w:sz w:val="22"/>
          <w:szCs w:val="22"/>
        </w:rPr>
      </w:pPr>
      <w:r w:rsidRPr="00721934">
        <w:rPr>
          <w:rFonts w:ascii="Calibri" w:eastAsia="Calibri" w:hAnsi="Calibri" w:cs="Calibri"/>
          <w:b/>
          <w:i/>
          <w:sz w:val="22"/>
          <w:szCs w:val="22"/>
          <w:lang w:bidi="nn-NO"/>
        </w:rPr>
        <w:t xml:space="preserve">(Kommentarar og nokre råd er skrivne i gult innleiingsvis og undervegs i dokumentet. </w:t>
      </w:r>
    </w:p>
    <w:p w14:paraId="2A2F249B" w14:textId="42A003BC" w:rsidR="00424574" w:rsidRPr="005B53D7" w:rsidRDefault="00205993" w:rsidP="00205993">
      <w:pPr>
        <w:shd w:val="clear" w:color="auto" w:fill="FFFF00"/>
        <w:spacing w:after="120"/>
        <w:rPr>
          <w:rFonts w:ascii="Calibri" w:hAnsi="Calibri"/>
          <w:i/>
          <w:sz w:val="22"/>
          <w:szCs w:val="22"/>
          <w:lang w:val="nb-NO"/>
        </w:rPr>
      </w:pPr>
      <w:r w:rsidRPr="00205993">
        <w:rPr>
          <w:rFonts w:ascii="Calibri" w:eastAsia="Calibri" w:hAnsi="Calibri" w:cs="Calibri"/>
          <w:i/>
          <w:sz w:val="22"/>
          <w:szCs w:val="22"/>
          <w:lang w:bidi="nn-NO"/>
        </w:rPr>
        <w:t xml:space="preserve">Dette dømet dekkjer internkontrollområda </w:t>
      </w:r>
      <w:r w:rsidR="000E1063">
        <w:rPr>
          <w:rFonts w:ascii="Calibri" w:eastAsia="Calibri" w:hAnsi="Calibri" w:cs="Calibri"/>
          <w:i/>
          <w:sz w:val="22"/>
          <w:szCs w:val="22"/>
          <w:lang w:bidi="nn-NO"/>
        </w:rPr>
        <w:t>informasjonssikkerheit</w:t>
      </w:r>
      <w:r w:rsidRPr="00205993">
        <w:rPr>
          <w:rFonts w:ascii="Calibri" w:eastAsia="Calibri" w:hAnsi="Calibri" w:cs="Calibri"/>
          <w:i/>
          <w:sz w:val="22"/>
          <w:szCs w:val="22"/>
          <w:lang w:bidi="nn-NO"/>
        </w:rPr>
        <w:t xml:space="preserve"> og kvalitet. </w:t>
      </w:r>
      <w:r w:rsidRPr="00205993">
        <w:rPr>
          <w:rFonts w:ascii="Calibri" w:eastAsia="Calibri" w:hAnsi="Calibri" w:cs="Calibri"/>
          <w:sz w:val="22"/>
          <w:szCs w:val="22"/>
          <w:lang w:bidi="nn-NO"/>
        </w:rPr>
        <w:t xml:space="preserve">Dømet har denne forma for å synleggjere korleis vurdering av behov for risikovurderingar innan </w:t>
      </w:r>
      <w:r w:rsidR="000E1063">
        <w:rPr>
          <w:rFonts w:ascii="Calibri" w:eastAsia="Calibri" w:hAnsi="Calibri" w:cs="Calibri"/>
          <w:sz w:val="22"/>
          <w:szCs w:val="22"/>
          <w:lang w:bidi="nn-NO"/>
        </w:rPr>
        <w:t>informasjonssikkerheit</w:t>
      </w:r>
      <w:r w:rsidRPr="00205993">
        <w:rPr>
          <w:rFonts w:ascii="Calibri" w:eastAsia="Calibri" w:hAnsi="Calibri" w:cs="Calibri"/>
          <w:sz w:val="22"/>
          <w:szCs w:val="22"/>
          <w:lang w:bidi="nn-NO"/>
        </w:rPr>
        <w:t xml:space="preserve"> kan integrerast med andre område der det er naturleg, jf. </w:t>
      </w:r>
      <w:hyperlink r:id="rId11" w:anchor="KAPITTEL_3" w:history="1">
        <w:proofErr w:type="spellStart"/>
        <w:r w:rsidR="00424574" w:rsidRPr="005B53D7">
          <w:rPr>
            <w:rStyle w:val="Hyperkobling"/>
            <w:rFonts w:ascii="Calibri" w:eastAsia="Calibri" w:hAnsi="Calibri" w:cs="Calibri"/>
            <w:sz w:val="22"/>
            <w:szCs w:val="22"/>
            <w:lang w:val="nb-NO" w:bidi="nn-NO"/>
          </w:rPr>
          <w:t>eForvaltningsforskriften</w:t>
        </w:r>
        <w:proofErr w:type="spellEnd"/>
        <w:r w:rsidR="00424574" w:rsidRPr="005B53D7">
          <w:rPr>
            <w:rStyle w:val="Hyperkobling"/>
            <w:rFonts w:ascii="Calibri" w:eastAsia="Calibri" w:hAnsi="Calibri" w:cs="Calibri"/>
            <w:sz w:val="22"/>
            <w:szCs w:val="22"/>
            <w:lang w:val="nb-NO" w:bidi="nn-NO"/>
          </w:rPr>
          <w:t xml:space="preserve"> § 15</w:t>
        </w:r>
      </w:hyperlink>
      <w:r w:rsidRPr="005B53D7">
        <w:rPr>
          <w:rFonts w:ascii="Calibri" w:eastAsia="Calibri" w:hAnsi="Calibri" w:cs="Calibri"/>
          <w:sz w:val="22"/>
          <w:szCs w:val="22"/>
          <w:lang w:val="nb-NO" w:bidi="nn-NO"/>
        </w:rPr>
        <w:t xml:space="preserve">, som </w:t>
      </w:r>
      <w:proofErr w:type="spellStart"/>
      <w:r w:rsidRPr="005B53D7">
        <w:rPr>
          <w:rFonts w:ascii="Calibri" w:eastAsia="Calibri" w:hAnsi="Calibri" w:cs="Calibri"/>
          <w:sz w:val="22"/>
          <w:szCs w:val="22"/>
          <w:lang w:val="nb-NO" w:bidi="nn-NO"/>
        </w:rPr>
        <w:t>seier</w:t>
      </w:r>
      <w:proofErr w:type="spellEnd"/>
      <w:r w:rsidRPr="005B53D7">
        <w:rPr>
          <w:rFonts w:ascii="Calibri" w:eastAsia="Calibri" w:hAnsi="Calibri" w:cs="Calibri"/>
          <w:sz w:val="22"/>
          <w:szCs w:val="22"/>
          <w:lang w:val="nb-NO" w:bidi="nn-NO"/>
        </w:rPr>
        <w:t xml:space="preserve"> at internkontrollen på </w:t>
      </w:r>
      <w:r w:rsidR="000E1063" w:rsidRPr="005B53D7">
        <w:rPr>
          <w:rFonts w:ascii="Calibri" w:eastAsia="Calibri" w:hAnsi="Calibri" w:cs="Calibri"/>
          <w:sz w:val="22"/>
          <w:szCs w:val="22"/>
          <w:lang w:val="nb-NO" w:bidi="nn-NO"/>
        </w:rPr>
        <w:t>informasjonssikkerheit</w:t>
      </w:r>
      <w:r w:rsidRPr="005B53D7">
        <w:rPr>
          <w:rFonts w:ascii="Calibri" w:eastAsia="Calibri" w:hAnsi="Calibri" w:cs="Calibri"/>
          <w:sz w:val="22"/>
          <w:szCs w:val="22"/>
          <w:lang w:val="nb-NO" w:bidi="nn-NO"/>
        </w:rPr>
        <w:t xml:space="preserve">sområdet </w:t>
      </w:r>
      <w:r w:rsidRPr="005B53D7">
        <w:rPr>
          <w:rFonts w:ascii="Calibri" w:eastAsia="Calibri" w:hAnsi="Calibri" w:cs="Calibri"/>
          <w:i/>
          <w:sz w:val="22"/>
          <w:szCs w:val="22"/>
          <w:lang w:val="nb-NO" w:bidi="nn-NO"/>
        </w:rPr>
        <w:t>«bør være en integrert del av virksomhetens helhetlige styringssystem».</w:t>
      </w:r>
    </w:p>
    <w:p w14:paraId="6D9C0D40" w14:textId="40FE1F22" w:rsidR="008A0B40" w:rsidRDefault="00D07FA9" w:rsidP="008A0B40">
      <w:pPr>
        <w:shd w:val="clear" w:color="auto" w:fill="FFFF00"/>
        <w:spacing w:after="120"/>
        <w:rPr>
          <w:rFonts w:ascii="Calibri" w:hAnsi="Calibri"/>
          <w:i/>
          <w:sz w:val="22"/>
          <w:szCs w:val="22"/>
        </w:rPr>
      </w:pPr>
      <w:r>
        <w:rPr>
          <w:rFonts w:ascii="Calibri" w:eastAsia="Calibri" w:hAnsi="Calibri" w:cs="Calibri"/>
          <w:i/>
          <w:sz w:val="22"/>
          <w:szCs w:val="22"/>
          <w:lang w:bidi="nn-NO"/>
        </w:rPr>
        <w:t xml:space="preserve">Vurdering av behov for risikovurderingar med tanke på etterleving av kvalitetskrav, kan ha den tilnærminga som er vist her. Det vil dessutan i fleire samanhengar kunne vere føremålstenleg å gjennomføre risikovurderingar for </w:t>
      </w:r>
      <w:r w:rsidR="000E1063">
        <w:rPr>
          <w:rFonts w:ascii="Calibri" w:eastAsia="Calibri" w:hAnsi="Calibri" w:cs="Calibri"/>
          <w:i/>
          <w:sz w:val="22"/>
          <w:szCs w:val="22"/>
          <w:lang w:bidi="nn-NO"/>
        </w:rPr>
        <w:t>informasjonssikkerheit</w:t>
      </w:r>
      <w:r>
        <w:rPr>
          <w:rFonts w:ascii="Calibri" w:eastAsia="Calibri" w:hAnsi="Calibri" w:cs="Calibri"/>
          <w:i/>
          <w:sz w:val="22"/>
          <w:szCs w:val="22"/>
          <w:lang w:bidi="nn-NO"/>
        </w:rPr>
        <w:t xml:space="preserve"> og kvalitet samla. Det kan då vere nyttig å gjere ei vurdering av behova for slike risikovurderingar samla. For andre internkontrollområde, som t.d. HMS, må ein ofte ha andre tilnærmingar til å vurdere behov for meir konkrete risikovurderingar. Dei er difor ikkje omfatta i dette dømet.</w:t>
      </w:r>
    </w:p>
    <w:p w14:paraId="16B530E9" w14:textId="60F9BE72" w:rsidR="00D07FA9" w:rsidRDefault="00424574" w:rsidP="00205993">
      <w:pPr>
        <w:shd w:val="clear" w:color="auto" w:fill="FFFF00"/>
        <w:spacing w:after="120"/>
        <w:rPr>
          <w:rFonts w:ascii="Calibri" w:hAnsi="Calibri"/>
          <w:i/>
          <w:sz w:val="22"/>
          <w:szCs w:val="22"/>
        </w:rPr>
      </w:pPr>
      <w:r>
        <w:rPr>
          <w:rFonts w:ascii="Calibri" w:eastAsia="Calibri" w:hAnsi="Calibri" w:cs="Calibri"/>
          <w:i/>
          <w:sz w:val="22"/>
          <w:szCs w:val="22"/>
          <w:lang w:bidi="nn-NO"/>
        </w:rPr>
        <w:t xml:space="preserve">Den enkelte verksemd må sjølv vurdere om ei retningslinje som dette bør dekkje både </w:t>
      </w:r>
      <w:r w:rsidR="000E1063">
        <w:rPr>
          <w:rFonts w:ascii="Calibri" w:eastAsia="Calibri" w:hAnsi="Calibri" w:cs="Calibri"/>
          <w:i/>
          <w:sz w:val="22"/>
          <w:szCs w:val="22"/>
          <w:lang w:bidi="nn-NO"/>
        </w:rPr>
        <w:t>informasjonssikkerheit</w:t>
      </w:r>
      <w:r>
        <w:rPr>
          <w:rFonts w:ascii="Calibri" w:eastAsia="Calibri" w:hAnsi="Calibri" w:cs="Calibri"/>
          <w:i/>
          <w:sz w:val="22"/>
          <w:szCs w:val="22"/>
          <w:lang w:bidi="nn-NO"/>
        </w:rPr>
        <w:t xml:space="preserve"> og kvalitet. Dette er spesielt viktig for dei som har eit formelt kvalitetssystem, t.d. etter ISO 9001. Blir vurderingar som dette rekna som føremålstenlege eller dekte av kvalitetssystemet elles, bør dokumentet avgrensast til </w:t>
      </w:r>
      <w:r w:rsidR="000E1063">
        <w:rPr>
          <w:rFonts w:ascii="Calibri" w:eastAsia="Calibri" w:hAnsi="Calibri" w:cs="Calibri"/>
          <w:i/>
          <w:sz w:val="22"/>
          <w:szCs w:val="22"/>
          <w:lang w:bidi="nn-NO"/>
        </w:rPr>
        <w:t>informasjonssikkerheit</w:t>
      </w:r>
      <w:r>
        <w:rPr>
          <w:rFonts w:ascii="Calibri" w:eastAsia="Calibri" w:hAnsi="Calibri" w:cs="Calibri"/>
          <w:i/>
          <w:sz w:val="22"/>
          <w:szCs w:val="22"/>
          <w:lang w:bidi="nn-NO"/>
        </w:rPr>
        <w:t>.</w:t>
      </w:r>
    </w:p>
    <w:p w14:paraId="40221A69" w14:textId="680BF540" w:rsidR="00205993" w:rsidRDefault="00205993" w:rsidP="00205993">
      <w:pPr>
        <w:shd w:val="clear" w:color="auto" w:fill="FFFF00"/>
        <w:spacing w:after="120"/>
        <w:rPr>
          <w:rFonts w:ascii="Calibri" w:hAnsi="Calibri"/>
          <w:i/>
          <w:sz w:val="22"/>
          <w:szCs w:val="22"/>
        </w:rPr>
      </w:pPr>
      <w:r w:rsidRPr="00205993">
        <w:rPr>
          <w:rFonts w:ascii="Calibri" w:eastAsia="Calibri" w:hAnsi="Calibri" w:cs="Calibri"/>
          <w:i/>
          <w:sz w:val="22"/>
          <w:szCs w:val="22"/>
          <w:lang w:bidi="nn-NO"/>
        </w:rPr>
        <w:t xml:space="preserve">Om ein ønskjer å avgrense dokumentet til berre </w:t>
      </w:r>
      <w:r w:rsidR="000E1063">
        <w:rPr>
          <w:rFonts w:ascii="Calibri" w:eastAsia="Calibri" w:hAnsi="Calibri" w:cs="Calibri"/>
          <w:i/>
          <w:sz w:val="22"/>
          <w:szCs w:val="22"/>
          <w:lang w:bidi="nn-NO"/>
        </w:rPr>
        <w:t>informasjonssikkerheit</w:t>
      </w:r>
      <w:r w:rsidRPr="00205993">
        <w:rPr>
          <w:rFonts w:ascii="Calibri" w:eastAsia="Calibri" w:hAnsi="Calibri" w:cs="Calibri"/>
          <w:i/>
          <w:sz w:val="22"/>
          <w:szCs w:val="22"/>
          <w:lang w:bidi="nn-NO"/>
        </w:rPr>
        <w:t xml:space="preserve">, kan dømet enkelt snevrast inn ved å ta bort enkelte punkt og spisse andre. Dette er kommentert under. Ein bør uansett vurdere å spesifisere tittelen på dokumentet, slik at bruksområdet kjem fram der. Det kan effektivisere forståinga av kva tid retningslinja er relevant. Andre dokument som tilviser til henne, bør då også oppdaterast. </w:t>
      </w:r>
      <w:r w:rsidRPr="00205993">
        <w:rPr>
          <w:rFonts w:ascii="Calibri" w:eastAsia="Calibri" w:hAnsi="Calibri" w:cs="Calibri"/>
          <w:sz w:val="22"/>
          <w:szCs w:val="22"/>
          <w:lang w:bidi="nn-NO"/>
        </w:rPr>
        <w:t>Dei som gjenbrukar sentrale delar av dømet, er sjølv ansvarlege for kvalitetssikring av innhaldet og tilpassing til eiga verksemd.</w:t>
      </w:r>
    </w:p>
    <w:p w14:paraId="775BF7B9" w14:textId="746852A8" w:rsidR="001F5E4C" w:rsidRDefault="001F5E4C" w:rsidP="00205993">
      <w:pPr>
        <w:shd w:val="clear" w:color="auto" w:fill="FFFF00"/>
        <w:spacing w:after="120"/>
        <w:rPr>
          <w:rFonts w:ascii="Calibri" w:hAnsi="Calibri"/>
          <w:i/>
          <w:sz w:val="22"/>
          <w:szCs w:val="22"/>
        </w:rPr>
      </w:pPr>
      <w:r>
        <w:rPr>
          <w:rFonts w:ascii="Calibri" w:eastAsia="Calibri" w:hAnsi="Calibri" w:cs="Calibri"/>
          <w:i/>
          <w:sz w:val="22"/>
          <w:szCs w:val="22"/>
          <w:lang w:bidi="nn-NO"/>
        </w:rPr>
        <w:t>Gode støtteskjema og litt opplæring/rettleiing er suksesskriterium. Det er rådd til at verksemdene prøver ut retningslinja og støtteskjema og gjer justeringar ved behov, før retningslinja eventuelt vedtakast for heile verksemda. Eit framlegg til støtteskjema er tilgjengeleg frå Digitaliseringsdirektoratet som mal.)</w:t>
      </w:r>
    </w:p>
    <w:p w14:paraId="1E3B5C49" w14:textId="77777777" w:rsidR="005B1F45" w:rsidRPr="005B1F45" w:rsidRDefault="005B1F45" w:rsidP="005B1F45">
      <w:pPr>
        <w:pStyle w:val="Overskriftforinnholdsfortegnelse"/>
        <w:numPr>
          <w:ilvl w:val="0"/>
          <w:numId w:val="0"/>
        </w:numPr>
        <w:ind w:left="357" w:hanging="357"/>
        <w:rPr>
          <w:rFonts w:ascii="Times New Roman" w:hAnsi="Times New Roman"/>
          <w:b w:val="0"/>
        </w:rPr>
      </w:pPr>
      <w:r w:rsidRPr="005B1F45">
        <w:rPr>
          <w:rFonts w:ascii="Times New Roman" w:hAnsi="Times New Roman"/>
          <w:b w:val="0"/>
          <w:lang w:bidi="nn-NO"/>
        </w:rPr>
        <w:t>Innhald</w:t>
      </w:r>
    </w:p>
    <w:p w14:paraId="2C9B86DE" w14:textId="3F2A667D" w:rsidR="000E1063" w:rsidRDefault="005B1F45">
      <w:pPr>
        <w:pStyle w:val="INNH1"/>
        <w:rPr>
          <w:rFonts w:asciiTheme="minorHAnsi" w:eastAsiaTheme="minorEastAsia" w:hAnsiTheme="minorHAnsi" w:cstheme="minorBidi"/>
          <w:noProof/>
          <w:sz w:val="22"/>
          <w:szCs w:val="22"/>
          <w:lang w:val="nb-NO" w:eastAsia="nb-NO"/>
        </w:rPr>
      </w:pPr>
      <w:r>
        <w:rPr>
          <w:lang w:bidi="nn-NO"/>
        </w:rPr>
        <w:fldChar w:fldCharType="begin"/>
      </w:r>
      <w:r>
        <w:rPr>
          <w:lang w:bidi="nn-NO"/>
        </w:rPr>
        <w:instrText xml:space="preserve"> TOC \o "1-3" \h \z \u </w:instrText>
      </w:r>
      <w:r>
        <w:rPr>
          <w:lang w:bidi="nn-NO"/>
        </w:rPr>
        <w:fldChar w:fldCharType="separate"/>
      </w:r>
      <w:hyperlink w:anchor="_Toc90481632" w:history="1">
        <w:r w:rsidR="000E1063" w:rsidRPr="00AB4E65">
          <w:rPr>
            <w:rStyle w:val="Hyperkobling"/>
            <w:noProof/>
          </w:rPr>
          <w:t>1.</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Innleiing</w:t>
        </w:r>
        <w:r w:rsidR="000E1063">
          <w:rPr>
            <w:noProof/>
            <w:webHidden/>
          </w:rPr>
          <w:tab/>
        </w:r>
        <w:r w:rsidR="000E1063">
          <w:rPr>
            <w:noProof/>
            <w:webHidden/>
          </w:rPr>
          <w:fldChar w:fldCharType="begin"/>
        </w:r>
        <w:r w:rsidR="000E1063">
          <w:rPr>
            <w:noProof/>
            <w:webHidden/>
          </w:rPr>
          <w:instrText xml:space="preserve"> PAGEREF _Toc90481632 \h </w:instrText>
        </w:r>
        <w:r w:rsidR="000E1063">
          <w:rPr>
            <w:noProof/>
            <w:webHidden/>
          </w:rPr>
        </w:r>
        <w:r w:rsidR="000E1063">
          <w:rPr>
            <w:noProof/>
            <w:webHidden/>
          </w:rPr>
          <w:fldChar w:fldCharType="separate"/>
        </w:r>
        <w:r w:rsidR="000E1063">
          <w:rPr>
            <w:noProof/>
            <w:webHidden/>
          </w:rPr>
          <w:t>1</w:t>
        </w:r>
        <w:r w:rsidR="000E1063">
          <w:rPr>
            <w:noProof/>
            <w:webHidden/>
          </w:rPr>
          <w:fldChar w:fldCharType="end"/>
        </w:r>
      </w:hyperlink>
    </w:p>
    <w:p w14:paraId="6591C478" w14:textId="1E1D6DA3" w:rsidR="000E1063" w:rsidRDefault="0085508C">
      <w:pPr>
        <w:pStyle w:val="INNH2"/>
        <w:rPr>
          <w:rFonts w:asciiTheme="minorHAnsi" w:eastAsiaTheme="minorEastAsia" w:hAnsiTheme="minorHAnsi" w:cstheme="minorBidi"/>
          <w:noProof/>
          <w:sz w:val="22"/>
          <w:szCs w:val="22"/>
          <w:lang w:val="nb-NO" w:eastAsia="nb-NO"/>
        </w:rPr>
      </w:pPr>
      <w:hyperlink w:anchor="_Toc90481633" w:history="1">
        <w:r w:rsidR="000E1063" w:rsidRPr="00AB4E65">
          <w:rPr>
            <w:rStyle w:val="Hyperkobling"/>
            <w:noProof/>
          </w:rPr>
          <w:t>1.1</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Målgruppe</w:t>
        </w:r>
        <w:r w:rsidR="000E1063">
          <w:rPr>
            <w:noProof/>
            <w:webHidden/>
          </w:rPr>
          <w:tab/>
        </w:r>
        <w:r w:rsidR="000E1063">
          <w:rPr>
            <w:noProof/>
            <w:webHidden/>
          </w:rPr>
          <w:fldChar w:fldCharType="begin"/>
        </w:r>
        <w:r w:rsidR="000E1063">
          <w:rPr>
            <w:noProof/>
            <w:webHidden/>
          </w:rPr>
          <w:instrText xml:space="preserve"> PAGEREF _Toc90481633 \h </w:instrText>
        </w:r>
        <w:r w:rsidR="000E1063">
          <w:rPr>
            <w:noProof/>
            <w:webHidden/>
          </w:rPr>
        </w:r>
        <w:r w:rsidR="000E1063">
          <w:rPr>
            <w:noProof/>
            <w:webHidden/>
          </w:rPr>
          <w:fldChar w:fldCharType="separate"/>
        </w:r>
        <w:r w:rsidR="000E1063">
          <w:rPr>
            <w:noProof/>
            <w:webHidden/>
          </w:rPr>
          <w:t>1</w:t>
        </w:r>
        <w:r w:rsidR="000E1063">
          <w:rPr>
            <w:noProof/>
            <w:webHidden/>
          </w:rPr>
          <w:fldChar w:fldCharType="end"/>
        </w:r>
      </w:hyperlink>
    </w:p>
    <w:p w14:paraId="242B16EC" w14:textId="3325AAC7" w:rsidR="000E1063" w:rsidRDefault="0085508C">
      <w:pPr>
        <w:pStyle w:val="INNH2"/>
        <w:rPr>
          <w:rFonts w:asciiTheme="minorHAnsi" w:eastAsiaTheme="minorEastAsia" w:hAnsiTheme="minorHAnsi" w:cstheme="minorBidi"/>
          <w:noProof/>
          <w:sz w:val="22"/>
          <w:szCs w:val="22"/>
          <w:lang w:val="nb-NO" w:eastAsia="nb-NO"/>
        </w:rPr>
      </w:pPr>
      <w:hyperlink w:anchor="_Toc90481634" w:history="1">
        <w:r w:rsidR="000E1063" w:rsidRPr="00AB4E65">
          <w:rPr>
            <w:rStyle w:val="Hyperkobling"/>
            <w:noProof/>
          </w:rPr>
          <w:t>1.2</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Føremål</w:t>
        </w:r>
        <w:r w:rsidR="000E1063">
          <w:rPr>
            <w:noProof/>
            <w:webHidden/>
          </w:rPr>
          <w:tab/>
        </w:r>
        <w:r w:rsidR="000E1063">
          <w:rPr>
            <w:noProof/>
            <w:webHidden/>
          </w:rPr>
          <w:fldChar w:fldCharType="begin"/>
        </w:r>
        <w:r w:rsidR="000E1063">
          <w:rPr>
            <w:noProof/>
            <w:webHidden/>
          </w:rPr>
          <w:instrText xml:space="preserve"> PAGEREF _Toc90481634 \h </w:instrText>
        </w:r>
        <w:r w:rsidR="000E1063">
          <w:rPr>
            <w:noProof/>
            <w:webHidden/>
          </w:rPr>
        </w:r>
        <w:r w:rsidR="000E1063">
          <w:rPr>
            <w:noProof/>
            <w:webHidden/>
          </w:rPr>
          <w:fldChar w:fldCharType="separate"/>
        </w:r>
        <w:r w:rsidR="000E1063">
          <w:rPr>
            <w:noProof/>
            <w:webHidden/>
          </w:rPr>
          <w:t>2</w:t>
        </w:r>
        <w:r w:rsidR="000E1063">
          <w:rPr>
            <w:noProof/>
            <w:webHidden/>
          </w:rPr>
          <w:fldChar w:fldCharType="end"/>
        </w:r>
      </w:hyperlink>
    </w:p>
    <w:p w14:paraId="241B21B8" w14:textId="055B3C34" w:rsidR="000E1063" w:rsidRDefault="0085508C">
      <w:pPr>
        <w:pStyle w:val="INNH2"/>
        <w:rPr>
          <w:rFonts w:asciiTheme="minorHAnsi" w:eastAsiaTheme="minorEastAsia" w:hAnsiTheme="minorHAnsi" w:cstheme="minorBidi"/>
          <w:noProof/>
          <w:sz w:val="22"/>
          <w:szCs w:val="22"/>
          <w:lang w:val="nb-NO" w:eastAsia="nb-NO"/>
        </w:rPr>
      </w:pPr>
      <w:hyperlink w:anchor="_Toc90481635" w:history="1">
        <w:r w:rsidR="000E1063" w:rsidRPr="00AB4E65">
          <w:rPr>
            <w:rStyle w:val="Hyperkobling"/>
            <w:noProof/>
          </w:rPr>
          <w:t>1.3</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Relaterte policyar og retningslinjer</w:t>
        </w:r>
        <w:r w:rsidR="000E1063">
          <w:rPr>
            <w:noProof/>
            <w:webHidden/>
          </w:rPr>
          <w:tab/>
        </w:r>
        <w:r w:rsidR="000E1063">
          <w:rPr>
            <w:noProof/>
            <w:webHidden/>
          </w:rPr>
          <w:fldChar w:fldCharType="begin"/>
        </w:r>
        <w:r w:rsidR="000E1063">
          <w:rPr>
            <w:noProof/>
            <w:webHidden/>
          </w:rPr>
          <w:instrText xml:space="preserve"> PAGEREF _Toc90481635 \h </w:instrText>
        </w:r>
        <w:r w:rsidR="000E1063">
          <w:rPr>
            <w:noProof/>
            <w:webHidden/>
          </w:rPr>
        </w:r>
        <w:r w:rsidR="000E1063">
          <w:rPr>
            <w:noProof/>
            <w:webHidden/>
          </w:rPr>
          <w:fldChar w:fldCharType="separate"/>
        </w:r>
        <w:r w:rsidR="000E1063">
          <w:rPr>
            <w:noProof/>
            <w:webHidden/>
          </w:rPr>
          <w:t>2</w:t>
        </w:r>
        <w:r w:rsidR="000E1063">
          <w:rPr>
            <w:noProof/>
            <w:webHidden/>
          </w:rPr>
          <w:fldChar w:fldCharType="end"/>
        </w:r>
      </w:hyperlink>
    </w:p>
    <w:p w14:paraId="3FE95C59" w14:textId="39162932" w:rsidR="000E1063" w:rsidRDefault="0085508C">
      <w:pPr>
        <w:pStyle w:val="INNH1"/>
        <w:rPr>
          <w:rFonts w:asciiTheme="minorHAnsi" w:eastAsiaTheme="minorEastAsia" w:hAnsiTheme="minorHAnsi" w:cstheme="minorBidi"/>
          <w:noProof/>
          <w:sz w:val="22"/>
          <w:szCs w:val="22"/>
          <w:lang w:val="nb-NO" w:eastAsia="nb-NO"/>
        </w:rPr>
      </w:pPr>
      <w:hyperlink w:anchor="_Toc90481636" w:history="1">
        <w:r w:rsidR="000E1063" w:rsidRPr="00AB4E65">
          <w:rPr>
            <w:rStyle w:val="Hyperkobling"/>
            <w:noProof/>
          </w:rPr>
          <w:t>2.</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Gjennomføring</w:t>
        </w:r>
        <w:r w:rsidR="000E1063">
          <w:rPr>
            <w:noProof/>
            <w:webHidden/>
          </w:rPr>
          <w:tab/>
        </w:r>
        <w:r w:rsidR="000E1063">
          <w:rPr>
            <w:noProof/>
            <w:webHidden/>
          </w:rPr>
          <w:fldChar w:fldCharType="begin"/>
        </w:r>
        <w:r w:rsidR="000E1063">
          <w:rPr>
            <w:noProof/>
            <w:webHidden/>
          </w:rPr>
          <w:instrText xml:space="preserve"> PAGEREF _Toc90481636 \h </w:instrText>
        </w:r>
        <w:r w:rsidR="000E1063">
          <w:rPr>
            <w:noProof/>
            <w:webHidden/>
          </w:rPr>
        </w:r>
        <w:r w:rsidR="000E1063">
          <w:rPr>
            <w:noProof/>
            <w:webHidden/>
          </w:rPr>
          <w:fldChar w:fldCharType="separate"/>
        </w:r>
        <w:r w:rsidR="000E1063">
          <w:rPr>
            <w:noProof/>
            <w:webHidden/>
          </w:rPr>
          <w:t>2</w:t>
        </w:r>
        <w:r w:rsidR="000E1063">
          <w:rPr>
            <w:noProof/>
            <w:webHidden/>
          </w:rPr>
          <w:fldChar w:fldCharType="end"/>
        </w:r>
      </w:hyperlink>
    </w:p>
    <w:p w14:paraId="76888743" w14:textId="7F887F86" w:rsidR="000E1063" w:rsidRDefault="0085508C">
      <w:pPr>
        <w:pStyle w:val="INNH2"/>
        <w:rPr>
          <w:rFonts w:asciiTheme="minorHAnsi" w:eastAsiaTheme="minorEastAsia" w:hAnsiTheme="minorHAnsi" w:cstheme="minorBidi"/>
          <w:noProof/>
          <w:sz w:val="22"/>
          <w:szCs w:val="22"/>
          <w:lang w:val="nb-NO" w:eastAsia="nb-NO"/>
        </w:rPr>
      </w:pPr>
      <w:hyperlink w:anchor="_Toc90481637" w:history="1">
        <w:r w:rsidR="000E1063" w:rsidRPr="00AB4E65">
          <w:rPr>
            <w:rStyle w:val="Hyperkobling"/>
            <w:noProof/>
          </w:rPr>
          <w:t>2.1</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Foranalyse av eige ansvarsområde</w:t>
        </w:r>
        <w:r w:rsidR="000E1063">
          <w:rPr>
            <w:noProof/>
            <w:webHidden/>
          </w:rPr>
          <w:tab/>
        </w:r>
        <w:r w:rsidR="000E1063">
          <w:rPr>
            <w:noProof/>
            <w:webHidden/>
          </w:rPr>
          <w:fldChar w:fldCharType="begin"/>
        </w:r>
        <w:r w:rsidR="000E1063">
          <w:rPr>
            <w:noProof/>
            <w:webHidden/>
          </w:rPr>
          <w:instrText xml:space="preserve"> PAGEREF _Toc90481637 \h </w:instrText>
        </w:r>
        <w:r w:rsidR="000E1063">
          <w:rPr>
            <w:noProof/>
            <w:webHidden/>
          </w:rPr>
        </w:r>
        <w:r w:rsidR="000E1063">
          <w:rPr>
            <w:noProof/>
            <w:webHidden/>
          </w:rPr>
          <w:fldChar w:fldCharType="separate"/>
        </w:r>
        <w:r w:rsidR="000E1063">
          <w:rPr>
            <w:noProof/>
            <w:webHidden/>
          </w:rPr>
          <w:t>2</w:t>
        </w:r>
        <w:r w:rsidR="000E1063">
          <w:rPr>
            <w:noProof/>
            <w:webHidden/>
          </w:rPr>
          <w:fldChar w:fldCharType="end"/>
        </w:r>
      </w:hyperlink>
    </w:p>
    <w:p w14:paraId="6EBA19BC" w14:textId="74B73379" w:rsidR="000E1063" w:rsidRDefault="0085508C">
      <w:pPr>
        <w:pStyle w:val="INNH2"/>
        <w:rPr>
          <w:rFonts w:asciiTheme="minorHAnsi" w:eastAsiaTheme="minorEastAsia" w:hAnsiTheme="minorHAnsi" w:cstheme="minorBidi"/>
          <w:noProof/>
          <w:sz w:val="22"/>
          <w:szCs w:val="22"/>
          <w:lang w:val="nb-NO" w:eastAsia="nb-NO"/>
        </w:rPr>
      </w:pPr>
      <w:hyperlink w:anchor="_Toc90481638" w:history="1">
        <w:r w:rsidR="000E1063" w:rsidRPr="00AB4E65">
          <w:rPr>
            <w:rStyle w:val="Hyperkobling"/>
            <w:noProof/>
          </w:rPr>
          <w:t>2.2</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Gruppere og dele opp</w:t>
        </w:r>
        <w:r w:rsidR="000E1063">
          <w:rPr>
            <w:noProof/>
            <w:webHidden/>
          </w:rPr>
          <w:tab/>
        </w:r>
        <w:r w:rsidR="000E1063">
          <w:rPr>
            <w:noProof/>
            <w:webHidden/>
          </w:rPr>
          <w:fldChar w:fldCharType="begin"/>
        </w:r>
        <w:r w:rsidR="000E1063">
          <w:rPr>
            <w:noProof/>
            <w:webHidden/>
          </w:rPr>
          <w:instrText xml:space="preserve"> PAGEREF _Toc90481638 \h </w:instrText>
        </w:r>
        <w:r w:rsidR="000E1063">
          <w:rPr>
            <w:noProof/>
            <w:webHidden/>
          </w:rPr>
        </w:r>
        <w:r w:rsidR="000E1063">
          <w:rPr>
            <w:noProof/>
            <w:webHidden/>
          </w:rPr>
          <w:fldChar w:fldCharType="separate"/>
        </w:r>
        <w:r w:rsidR="000E1063">
          <w:rPr>
            <w:noProof/>
            <w:webHidden/>
          </w:rPr>
          <w:t>2</w:t>
        </w:r>
        <w:r w:rsidR="000E1063">
          <w:rPr>
            <w:noProof/>
            <w:webHidden/>
          </w:rPr>
          <w:fldChar w:fldCharType="end"/>
        </w:r>
      </w:hyperlink>
    </w:p>
    <w:p w14:paraId="747A3FFF" w14:textId="02C90C46" w:rsidR="000E1063" w:rsidRDefault="0085508C">
      <w:pPr>
        <w:pStyle w:val="INNH2"/>
        <w:rPr>
          <w:rFonts w:asciiTheme="minorHAnsi" w:eastAsiaTheme="minorEastAsia" w:hAnsiTheme="minorHAnsi" w:cstheme="minorBidi"/>
          <w:noProof/>
          <w:sz w:val="22"/>
          <w:szCs w:val="22"/>
          <w:lang w:val="nb-NO" w:eastAsia="nb-NO"/>
        </w:rPr>
      </w:pPr>
      <w:hyperlink w:anchor="_Toc90481639" w:history="1">
        <w:r w:rsidR="000E1063" w:rsidRPr="00AB4E65">
          <w:rPr>
            <w:rStyle w:val="Hyperkobling"/>
            <w:noProof/>
          </w:rPr>
          <w:t>2.3</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Avdekkje usikkerheit for kvart delområde</w:t>
        </w:r>
        <w:r w:rsidR="000E1063">
          <w:rPr>
            <w:noProof/>
            <w:webHidden/>
          </w:rPr>
          <w:tab/>
        </w:r>
        <w:r w:rsidR="000E1063">
          <w:rPr>
            <w:noProof/>
            <w:webHidden/>
          </w:rPr>
          <w:fldChar w:fldCharType="begin"/>
        </w:r>
        <w:r w:rsidR="000E1063">
          <w:rPr>
            <w:noProof/>
            <w:webHidden/>
          </w:rPr>
          <w:instrText xml:space="preserve"> PAGEREF _Toc90481639 \h </w:instrText>
        </w:r>
        <w:r w:rsidR="000E1063">
          <w:rPr>
            <w:noProof/>
            <w:webHidden/>
          </w:rPr>
        </w:r>
        <w:r w:rsidR="000E1063">
          <w:rPr>
            <w:noProof/>
            <w:webHidden/>
          </w:rPr>
          <w:fldChar w:fldCharType="separate"/>
        </w:r>
        <w:r w:rsidR="000E1063">
          <w:rPr>
            <w:noProof/>
            <w:webHidden/>
          </w:rPr>
          <w:t>2</w:t>
        </w:r>
        <w:r w:rsidR="000E1063">
          <w:rPr>
            <w:noProof/>
            <w:webHidden/>
          </w:rPr>
          <w:fldChar w:fldCharType="end"/>
        </w:r>
      </w:hyperlink>
    </w:p>
    <w:p w14:paraId="10F61FD6" w14:textId="5F62B1DD" w:rsidR="000E1063" w:rsidRDefault="0085508C">
      <w:pPr>
        <w:pStyle w:val="INNH2"/>
        <w:rPr>
          <w:rFonts w:asciiTheme="minorHAnsi" w:eastAsiaTheme="minorEastAsia" w:hAnsiTheme="minorHAnsi" w:cstheme="minorBidi"/>
          <w:noProof/>
          <w:sz w:val="22"/>
          <w:szCs w:val="22"/>
          <w:lang w:val="nb-NO" w:eastAsia="nb-NO"/>
        </w:rPr>
      </w:pPr>
      <w:hyperlink w:anchor="_Toc90481640" w:history="1">
        <w:r w:rsidR="000E1063" w:rsidRPr="00AB4E65">
          <w:rPr>
            <w:rStyle w:val="Hyperkobling"/>
            <w:noProof/>
          </w:rPr>
          <w:t>2.4</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Gjer vedtak på kvart delområde ut frå avgjerdskriteria</w:t>
        </w:r>
        <w:r w:rsidR="000E1063">
          <w:rPr>
            <w:noProof/>
            <w:webHidden/>
          </w:rPr>
          <w:tab/>
        </w:r>
        <w:r w:rsidR="000E1063">
          <w:rPr>
            <w:noProof/>
            <w:webHidden/>
          </w:rPr>
          <w:fldChar w:fldCharType="begin"/>
        </w:r>
        <w:r w:rsidR="000E1063">
          <w:rPr>
            <w:noProof/>
            <w:webHidden/>
          </w:rPr>
          <w:instrText xml:space="preserve"> PAGEREF _Toc90481640 \h </w:instrText>
        </w:r>
        <w:r w:rsidR="000E1063">
          <w:rPr>
            <w:noProof/>
            <w:webHidden/>
          </w:rPr>
        </w:r>
        <w:r w:rsidR="000E1063">
          <w:rPr>
            <w:noProof/>
            <w:webHidden/>
          </w:rPr>
          <w:fldChar w:fldCharType="separate"/>
        </w:r>
        <w:r w:rsidR="000E1063">
          <w:rPr>
            <w:noProof/>
            <w:webHidden/>
          </w:rPr>
          <w:t>3</w:t>
        </w:r>
        <w:r w:rsidR="000E1063">
          <w:rPr>
            <w:noProof/>
            <w:webHidden/>
          </w:rPr>
          <w:fldChar w:fldCharType="end"/>
        </w:r>
      </w:hyperlink>
    </w:p>
    <w:p w14:paraId="4D301481" w14:textId="72D2C938" w:rsidR="000E1063" w:rsidRDefault="0085508C">
      <w:pPr>
        <w:pStyle w:val="INNH1"/>
        <w:rPr>
          <w:rFonts w:asciiTheme="minorHAnsi" w:eastAsiaTheme="minorEastAsia" w:hAnsiTheme="minorHAnsi" w:cstheme="minorBidi"/>
          <w:noProof/>
          <w:sz w:val="22"/>
          <w:szCs w:val="22"/>
          <w:lang w:val="nb-NO" w:eastAsia="nb-NO"/>
        </w:rPr>
      </w:pPr>
      <w:hyperlink w:anchor="_Toc90481641" w:history="1">
        <w:r w:rsidR="000E1063" w:rsidRPr="00AB4E65">
          <w:rPr>
            <w:rStyle w:val="Hyperkobling"/>
            <w:noProof/>
          </w:rPr>
          <w:t>3.</w:t>
        </w:r>
        <w:r w:rsidR="000E1063">
          <w:rPr>
            <w:rFonts w:asciiTheme="minorHAnsi" w:eastAsiaTheme="minorEastAsia" w:hAnsiTheme="minorHAnsi" w:cstheme="minorBidi"/>
            <w:noProof/>
            <w:sz w:val="22"/>
            <w:szCs w:val="22"/>
            <w:lang w:val="nb-NO" w:eastAsia="nb-NO"/>
          </w:rPr>
          <w:tab/>
        </w:r>
        <w:r w:rsidR="000E1063" w:rsidRPr="00AB4E65">
          <w:rPr>
            <w:rStyle w:val="Hyperkobling"/>
            <w:noProof/>
            <w:lang w:bidi="nn-NO"/>
          </w:rPr>
          <w:t>Dokumentere</w:t>
        </w:r>
        <w:r w:rsidR="000E1063">
          <w:rPr>
            <w:noProof/>
            <w:webHidden/>
          </w:rPr>
          <w:tab/>
        </w:r>
        <w:r w:rsidR="000E1063">
          <w:rPr>
            <w:noProof/>
            <w:webHidden/>
          </w:rPr>
          <w:fldChar w:fldCharType="begin"/>
        </w:r>
        <w:r w:rsidR="000E1063">
          <w:rPr>
            <w:noProof/>
            <w:webHidden/>
          </w:rPr>
          <w:instrText xml:space="preserve"> PAGEREF _Toc90481641 \h </w:instrText>
        </w:r>
        <w:r w:rsidR="000E1063">
          <w:rPr>
            <w:noProof/>
            <w:webHidden/>
          </w:rPr>
        </w:r>
        <w:r w:rsidR="000E1063">
          <w:rPr>
            <w:noProof/>
            <w:webHidden/>
          </w:rPr>
          <w:fldChar w:fldCharType="separate"/>
        </w:r>
        <w:r w:rsidR="000E1063">
          <w:rPr>
            <w:noProof/>
            <w:webHidden/>
          </w:rPr>
          <w:t>3</w:t>
        </w:r>
        <w:r w:rsidR="000E1063">
          <w:rPr>
            <w:noProof/>
            <w:webHidden/>
          </w:rPr>
          <w:fldChar w:fldCharType="end"/>
        </w:r>
      </w:hyperlink>
    </w:p>
    <w:p w14:paraId="488F88CE" w14:textId="4A3B444A" w:rsidR="000E1063" w:rsidRDefault="0085508C">
      <w:pPr>
        <w:pStyle w:val="INNH1"/>
        <w:rPr>
          <w:rFonts w:asciiTheme="minorHAnsi" w:eastAsiaTheme="minorEastAsia" w:hAnsiTheme="minorHAnsi" w:cstheme="minorBidi"/>
          <w:noProof/>
          <w:sz w:val="22"/>
          <w:szCs w:val="22"/>
          <w:lang w:val="nb-NO" w:eastAsia="nb-NO"/>
        </w:rPr>
      </w:pPr>
      <w:hyperlink w:anchor="_Toc90481642" w:history="1">
        <w:r w:rsidR="000E1063" w:rsidRPr="00AB4E65">
          <w:rPr>
            <w:rStyle w:val="Hyperkobling"/>
            <w:noProof/>
            <w:lang w:bidi="nn-NO"/>
          </w:rPr>
          <w:t>Vedlegg A: Støttespørsmål</w:t>
        </w:r>
        <w:r w:rsidR="000E1063">
          <w:rPr>
            <w:noProof/>
            <w:webHidden/>
          </w:rPr>
          <w:tab/>
        </w:r>
        <w:r w:rsidR="000E1063">
          <w:rPr>
            <w:noProof/>
            <w:webHidden/>
          </w:rPr>
          <w:fldChar w:fldCharType="begin"/>
        </w:r>
        <w:r w:rsidR="000E1063">
          <w:rPr>
            <w:noProof/>
            <w:webHidden/>
          </w:rPr>
          <w:instrText xml:space="preserve"> PAGEREF _Toc90481642 \h </w:instrText>
        </w:r>
        <w:r w:rsidR="000E1063">
          <w:rPr>
            <w:noProof/>
            <w:webHidden/>
          </w:rPr>
        </w:r>
        <w:r w:rsidR="000E1063">
          <w:rPr>
            <w:noProof/>
            <w:webHidden/>
          </w:rPr>
          <w:fldChar w:fldCharType="separate"/>
        </w:r>
        <w:r w:rsidR="000E1063">
          <w:rPr>
            <w:noProof/>
            <w:webHidden/>
          </w:rPr>
          <w:t>4</w:t>
        </w:r>
        <w:r w:rsidR="000E1063">
          <w:rPr>
            <w:noProof/>
            <w:webHidden/>
          </w:rPr>
          <w:fldChar w:fldCharType="end"/>
        </w:r>
      </w:hyperlink>
    </w:p>
    <w:p w14:paraId="45802EE9" w14:textId="6990AA66" w:rsidR="000E1063" w:rsidRDefault="0085508C">
      <w:pPr>
        <w:pStyle w:val="INNH1"/>
        <w:rPr>
          <w:rFonts w:asciiTheme="minorHAnsi" w:eastAsiaTheme="minorEastAsia" w:hAnsiTheme="minorHAnsi" w:cstheme="minorBidi"/>
          <w:noProof/>
          <w:sz w:val="22"/>
          <w:szCs w:val="22"/>
          <w:lang w:val="nb-NO" w:eastAsia="nb-NO"/>
        </w:rPr>
      </w:pPr>
      <w:hyperlink w:anchor="_Toc90481643" w:history="1">
        <w:r w:rsidR="000E1063" w:rsidRPr="00AB4E65">
          <w:rPr>
            <w:rStyle w:val="Hyperkobling"/>
            <w:noProof/>
            <w:lang w:bidi="nn-NO"/>
          </w:rPr>
          <w:t>Vedlegg B: Vedtakskriterium</w:t>
        </w:r>
        <w:r w:rsidR="000E1063">
          <w:rPr>
            <w:noProof/>
            <w:webHidden/>
          </w:rPr>
          <w:tab/>
        </w:r>
        <w:r w:rsidR="000E1063">
          <w:rPr>
            <w:noProof/>
            <w:webHidden/>
          </w:rPr>
          <w:fldChar w:fldCharType="begin"/>
        </w:r>
        <w:r w:rsidR="000E1063">
          <w:rPr>
            <w:noProof/>
            <w:webHidden/>
          </w:rPr>
          <w:instrText xml:space="preserve"> PAGEREF _Toc90481643 \h </w:instrText>
        </w:r>
        <w:r w:rsidR="000E1063">
          <w:rPr>
            <w:noProof/>
            <w:webHidden/>
          </w:rPr>
        </w:r>
        <w:r w:rsidR="000E1063">
          <w:rPr>
            <w:noProof/>
            <w:webHidden/>
          </w:rPr>
          <w:fldChar w:fldCharType="separate"/>
        </w:r>
        <w:r w:rsidR="000E1063">
          <w:rPr>
            <w:noProof/>
            <w:webHidden/>
          </w:rPr>
          <w:t>5</w:t>
        </w:r>
        <w:r w:rsidR="000E1063">
          <w:rPr>
            <w:noProof/>
            <w:webHidden/>
          </w:rPr>
          <w:fldChar w:fldCharType="end"/>
        </w:r>
      </w:hyperlink>
    </w:p>
    <w:p w14:paraId="3DE753E9" w14:textId="77777777" w:rsidR="005B1F45" w:rsidRDefault="005B1F45">
      <w:r>
        <w:rPr>
          <w:b/>
          <w:lang w:bidi="nn-NO"/>
        </w:rPr>
        <w:fldChar w:fldCharType="end"/>
      </w:r>
    </w:p>
    <w:p w14:paraId="6E8AF3DF" w14:textId="77777777" w:rsidR="000D0A7B" w:rsidRDefault="000D0A7B" w:rsidP="007F0B02">
      <w:pPr>
        <w:pStyle w:val="Overskrift1"/>
      </w:pPr>
      <w:bookmarkStart w:id="0" w:name="_Toc90481632"/>
      <w:r>
        <w:rPr>
          <w:lang w:bidi="nn-NO"/>
        </w:rPr>
        <w:t>Innleiing</w:t>
      </w:r>
      <w:bookmarkEnd w:id="0"/>
    </w:p>
    <w:p w14:paraId="63BAB73B" w14:textId="77777777" w:rsidR="000D0A7B" w:rsidRPr="00886626" w:rsidRDefault="000D0A7B" w:rsidP="000D0A7B">
      <w:pPr>
        <w:pStyle w:val="Overskrift2"/>
      </w:pPr>
      <w:bookmarkStart w:id="1" w:name="_Toc90481633"/>
      <w:r w:rsidRPr="00886626">
        <w:rPr>
          <w:lang w:bidi="nn-NO"/>
        </w:rPr>
        <w:t>Målgruppe</w:t>
      </w:r>
      <w:bookmarkEnd w:id="1"/>
    </w:p>
    <w:p w14:paraId="0D145124" w14:textId="2DCC9049" w:rsidR="00A672FF" w:rsidRDefault="00A672FF" w:rsidP="007468E6">
      <w:r>
        <w:rPr>
          <w:lang w:bidi="nn-NO"/>
        </w:rPr>
        <w:t xml:space="preserve">Dette dokumentet er ein del av verksemda sine styrande dokument. Målgruppa er </w:t>
      </w:r>
    </w:p>
    <w:p w14:paraId="5F798B79" w14:textId="77777777" w:rsidR="007468E6" w:rsidRDefault="00B848B5" w:rsidP="00985833">
      <w:pPr>
        <w:numPr>
          <w:ilvl w:val="0"/>
          <w:numId w:val="10"/>
        </w:numPr>
        <w:ind w:left="714" w:hanging="357"/>
      </w:pPr>
      <w:r>
        <w:rPr>
          <w:lang w:bidi="nn-NO"/>
        </w:rPr>
        <w:t>Risikoeigarar, dvs. leiarar med ansvar for oppgåveløysing, tenesteutføring og eigne IKT-system</w:t>
      </w:r>
    </w:p>
    <w:p w14:paraId="54E8800A" w14:textId="77777777" w:rsidR="007468E6" w:rsidRDefault="000D0A7B" w:rsidP="00985833">
      <w:pPr>
        <w:numPr>
          <w:ilvl w:val="0"/>
          <w:numId w:val="10"/>
        </w:numPr>
        <w:spacing w:after="120"/>
      </w:pPr>
      <w:r>
        <w:rPr>
          <w:lang w:bidi="nn-NO"/>
        </w:rPr>
        <w:lastRenderedPageBreak/>
        <w:t>systemeigarar for fellessystem</w:t>
      </w:r>
      <w:r w:rsidR="007F17E5">
        <w:rPr>
          <w:rStyle w:val="Fotnotereferanse"/>
          <w:lang w:bidi="nn-NO"/>
        </w:rPr>
        <w:footnoteReference w:id="1"/>
      </w:r>
      <w:r>
        <w:rPr>
          <w:lang w:bidi="nn-NO"/>
        </w:rPr>
        <w:t xml:space="preserve">. </w:t>
      </w:r>
    </w:p>
    <w:p w14:paraId="4BA8EFDA" w14:textId="77777777" w:rsidR="00285AC7" w:rsidRPr="007F0B02" w:rsidRDefault="00285AC7" w:rsidP="00A672FF">
      <w:pPr>
        <w:pStyle w:val="Overskrift2"/>
        <w:ind w:left="357" w:hanging="357"/>
      </w:pPr>
      <w:bookmarkStart w:id="2" w:name="_Toc90481634"/>
      <w:r w:rsidRPr="007F0B02">
        <w:rPr>
          <w:lang w:bidi="nn-NO"/>
        </w:rPr>
        <w:t>Føremål</w:t>
      </w:r>
      <w:bookmarkEnd w:id="2"/>
    </w:p>
    <w:p w14:paraId="2B0666F2" w14:textId="525555F4" w:rsidR="00161759" w:rsidRDefault="00285AC7" w:rsidP="00503576">
      <w:pPr>
        <w:spacing w:after="160"/>
      </w:pPr>
      <w:r>
        <w:rPr>
          <w:lang w:bidi="nn-NO"/>
        </w:rPr>
        <w:t xml:space="preserve">Føremålet er å gje føringar for korleis ein skal gå fram for å avgjere behovet for nye eller oppdaterte risikovurderingar på operativt nivå innan </w:t>
      </w:r>
      <w:r w:rsidR="000E1063">
        <w:rPr>
          <w:lang w:bidi="nn-NO"/>
        </w:rPr>
        <w:t>informasjonssikkerheit</w:t>
      </w:r>
      <w:r>
        <w:rPr>
          <w:lang w:bidi="nn-NO"/>
        </w:rPr>
        <w:t xml:space="preserve"> og kvalitet. </w:t>
      </w:r>
      <w:r w:rsidR="0099395D">
        <w:rPr>
          <w:highlight w:val="yellow"/>
          <w:lang w:bidi="nn-NO"/>
        </w:rPr>
        <w:t xml:space="preserve">(Alternativt at dokumentet berre gjeld </w:t>
      </w:r>
      <w:r w:rsidR="000E1063">
        <w:rPr>
          <w:highlight w:val="yellow"/>
          <w:lang w:bidi="nn-NO"/>
        </w:rPr>
        <w:t>informasjonssikkerheit</w:t>
      </w:r>
      <w:r w:rsidR="0099395D">
        <w:rPr>
          <w:highlight w:val="yellow"/>
          <w:lang w:bidi="nn-NO"/>
        </w:rPr>
        <w:t xml:space="preserve"> - om det er ønskeleg.)</w:t>
      </w:r>
    </w:p>
    <w:p w14:paraId="2FA82935" w14:textId="77777777" w:rsidR="00285AC7" w:rsidRDefault="00F00B0E" w:rsidP="00503576">
      <w:pPr>
        <w:spacing w:after="160"/>
      </w:pPr>
      <w:r>
        <w:rPr>
          <w:lang w:bidi="nn-NO"/>
        </w:rPr>
        <w:t>Operative risikoar omfattar uønskte hendingar og konsekvensar i den operative utføringa av oppgåver og tenester.</w:t>
      </w:r>
    </w:p>
    <w:p w14:paraId="6141A12E" w14:textId="77777777" w:rsidR="00A36D05" w:rsidRDefault="00A36D05" w:rsidP="000D0A7B">
      <w:pPr>
        <w:pStyle w:val="Overskrift2"/>
      </w:pPr>
      <w:bookmarkStart w:id="3" w:name="_Toc90481635"/>
      <w:r>
        <w:rPr>
          <w:lang w:bidi="nn-NO"/>
        </w:rPr>
        <w:t>Relaterte policyar og retningslinjer</w:t>
      </w:r>
      <w:bookmarkEnd w:id="3"/>
    </w:p>
    <w:p w14:paraId="2DD15421" w14:textId="77777777" w:rsidR="00A36D05" w:rsidRDefault="00125EBD" w:rsidP="00503576">
      <w:r>
        <w:rPr>
          <w:lang w:bidi="nn-NO"/>
        </w:rPr>
        <w:t>Dokumentet må sjåast i samanheng med følgjande retningslinjer:</w:t>
      </w:r>
    </w:p>
    <w:p w14:paraId="5295377A" w14:textId="2A1BA76F" w:rsidR="009E0E0B" w:rsidRDefault="00967095" w:rsidP="00985833">
      <w:pPr>
        <w:numPr>
          <w:ilvl w:val="0"/>
          <w:numId w:val="4"/>
        </w:numPr>
      </w:pPr>
      <w:r w:rsidRPr="00967095">
        <w:rPr>
          <w:lang w:bidi="nn-NO"/>
        </w:rPr>
        <w:t>Roller og ansvar</w:t>
      </w:r>
    </w:p>
    <w:p w14:paraId="417E13B8" w14:textId="1F00FCBD" w:rsidR="00A36D05" w:rsidRDefault="00A36D05" w:rsidP="00985833">
      <w:pPr>
        <w:numPr>
          <w:ilvl w:val="0"/>
          <w:numId w:val="4"/>
        </w:numPr>
        <w:ind w:hanging="357"/>
      </w:pPr>
      <w:r>
        <w:rPr>
          <w:lang w:bidi="nn-NO"/>
        </w:rPr>
        <w:t>Forstå, vurdere og handtere risiko</w:t>
      </w:r>
    </w:p>
    <w:p w14:paraId="1CC74FDD" w14:textId="77777777" w:rsidR="00CD06BF" w:rsidRDefault="00CD06BF" w:rsidP="007F0B02">
      <w:pPr>
        <w:pStyle w:val="Overskrift1"/>
      </w:pPr>
      <w:bookmarkStart w:id="4" w:name="_Toc90481636"/>
      <w:r>
        <w:rPr>
          <w:lang w:bidi="nn-NO"/>
        </w:rPr>
        <w:t>Gjennomføring</w:t>
      </w:r>
      <w:bookmarkEnd w:id="4"/>
    </w:p>
    <w:p w14:paraId="254F98D8" w14:textId="77777777" w:rsidR="00B848B5" w:rsidRDefault="00B848B5" w:rsidP="00A65045">
      <w:pPr>
        <w:pStyle w:val="Overskrift2"/>
      </w:pPr>
      <w:bookmarkStart w:id="5" w:name="_Toc90481637"/>
      <w:r>
        <w:rPr>
          <w:lang w:bidi="nn-NO"/>
        </w:rPr>
        <w:t>Foranalyse av eige ansvarsområde</w:t>
      </w:r>
      <w:bookmarkEnd w:id="5"/>
    </w:p>
    <w:p w14:paraId="79A75BD9" w14:textId="77777777" w:rsidR="00BC57A8" w:rsidRDefault="00B848B5" w:rsidP="0088654F">
      <w:pPr>
        <w:spacing w:after="160"/>
      </w:pPr>
      <w:r>
        <w:rPr>
          <w:lang w:bidi="nn-NO"/>
        </w:rPr>
        <w:t xml:space="preserve">Alle risikoeigarar skal utføre ein foranalyse av eige ansvarsområde. Denne bør omfatte både arbeidsoppgåver som utførast, informasjonen som blir behandla i oppgåvene, IKT-system som brukast og sentrale trugsmål, farar og sårbarheiter. </w:t>
      </w:r>
    </w:p>
    <w:p w14:paraId="247B9BAE" w14:textId="77777777" w:rsidR="00B848B5" w:rsidRDefault="00B848B5" w:rsidP="0088654F">
      <w:pPr>
        <w:spacing w:after="160"/>
      </w:pPr>
      <w:r>
        <w:rPr>
          <w:lang w:bidi="nn-NO"/>
        </w:rPr>
        <w:t>Om foranalysen blir gjennomført i leiargrupper over operativt nivå, vil det redusere omfanget av foranalysar og forenkle gjennomføringa. Eventuell slik organisering avgjerast av dei enkelte organisatoriske einingane.</w:t>
      </w:r>
    </w:p>
    <w:p w14:paraId="351021D3" w14:textId="77777777" w:rsidR="00B848B5" w:rsidRDefault="00B848B5" w:rsidP="0088654F">
      <w:pPr>
        <w:spacing w:after="160"/>
      </w:pPr>
      <w:r>
        <w:rPr>
          <w:lang w:bidi="nn-NO"/>
        </w:rPr>
        <w:t>Systemeigarar for fellessystem bør få utført ein forenkla foranalyse for fellessystema dei har ansvaret for. Desse bør baserast på foranalysane til risikoeigarane.</w:t>
      </w:r>
    </w:p>
    <w:p w14:paraId="46EE7DA9" w14:textId="77777777" w:rsidR="009E0EF1" w:rsidRPr="00A65045" w:rsidRDefault="003F4A7D" w:rsidP="00A65045">
      <w:pPr>
        <w:pStyle w:val="Overskrift2"/>
      </w:pPr>
      <w:bookmarkStart w:id="6" w:name="_Ref485057344"/>
      <w:bookmarkStart w:id="7" w:name="_Toc90481638"/>
      <w:r>
        <w:rPr>
          <w:lang w:bidi="nn-NO"/>
        </w:rPr>
        <w:t>Gruppere og dele opp</w:t>
      </w:r>
      <w:bookmarkEnd w:id="6"/>
      <w:bookmarkEnd w:id="7"/>
    </w:p>
    <w:p w14:paraId="46578659" w14:textId="77777777" w:rsidR="00BC57A8" w:rsidRPr="00F8367F" w:rsidRDefault="00BC57A8" w:rsidP="0088654F">
      <w:pPr>
        <w:spacing w:after="160"/>
      </w:pPr>
      <w:r>
        <w:rPr>
          <w:lang w:bidi="nn-NO"/>
        </w:rPr>
        <w:t xml:space="preserve">Eit ansvarsområde kan vere enkelt og oversiktleg eller stort og komplekst. Når ein skal avgjere kvar og om det er behov for grundigare risikovurderingar, vil det ofte vere føremålstenleg eller naudsynt å slå noko saman i større grupper eller dele det opp i delområde. Vi kallar det å gruppere og dele opp. </w:t>
      </w:r>
    </w:p>
    <w:p w14:paraId="26C9E8E3" w14:textId="77777777" w:rsidR="00BC57A8" w:rsidRDefault="00BC57A8" w:rsidP="00503576">
      <w:pPr>
        <w:spacing w:after="160"/>
        <w:rPr>
          <w:lang w:eastAsia="nb-NO"/>
        </w:rPr>
      </w:pPr>
      <w:r>
        <w:rPr>
          <w:lang w:bidi="nn-NO"/>
        </w:rPr>
        <w:t>På bakgrunn av foranalysen skal den ansvarlege vurdere om enkelheit, kompleksitet, rutinar, kompetanse eller andre tilhøve gjer at arbeidsoppgåvene og IKT-systema ein har ansvaret for kan og bør slåast saman i større grupper eller delast opp i delområde.</w:t>
      </w:r>
    </w:p>
    <w:p w14:paraId="2AF81D2A" w14:textId="77777777" w:rsidR="009E0EF1" w:rsidRDefault="00A36D05" w:rsidP="00A65045">
      <w:pPr>
        <w:pStyle w:val="Overskrift2"/>
      </w:pPr>
      <w:bookmarkStart w:id="8" w:name="_Ref485057531"/>
      <w:bookmarkStart w:id="9" w:name="_Toc90481639"/>
      <w:r>
        <w:rPr>
          <w:lang w:bidi="nn-NO"/>
        </w:rPr>
        <w:t>Avdekkje usikkerheit</w:t>
      </w:r>
      <w:bookmarkEnd w:id="8"/>
      <w:r>
        <w:rPr>
          <w:lang w:bidi="nn-NO"/>
        </w:rPr>
        <w:t xml:space="preserve"> for kvart delområde</w:t>
      </w:r>
      <w:bookmarkEnd w:id="9"/>
    </w:p>
    <w:p w14:paraId="0B839FCA" w14:textId="77777777" w:rsidR="00774BEA" w:rsidRDefault="00AC6FEB" w:rsidP="00503576">
      <w:pPr>
        <w:spacing w:after="160"/>
      </w:pPr>
      <w:r>
        <w:rPr>
          <w:lang w:bidi="nn-NO"/>
        </w:rPr>
        <w:t xml:space="preserve">For kvart delområde frå pkt. </w:t>
      </w:r>
      <w:r w:rsidR="005960CA">
        <w:rPr>
          <w:lang w:bidi="nn-NO"/>
        </w:rPr>
        <w:fldChar w:fldCharType="begin"/>
      </w:r>
      <w:r w:rsidR="005960CA">
        <w:rPr>
          <w:lang w:bidi="nn-NO"/>
        </w:rPr>
        <w:instrText xml:space="preserve"> REF _Ref485057344 \r \h </w:instrText>
      </w:r>
      <w:r w:rsidR="005960CA">
        <w:rPr>
          <w:lang w:bidi="nn-NO"/>
        </w:rPr>
      </w:r>
      <w:r w:rsidR="005960CA">
        <w:rPr>
          <w:lang w:bidi="nn-NO"/>
        </w:rPr>
        <w:fldChar w:fldCharType="separate"/>
      </w:r>
      <w:r w:rsidR="005960CA">
        <w:rPr>
          <w:lang w:bidi="nn-NO"/>
        </w:rPr>
        <w:t>2.2</w:t>
      </w:r>
      <w:r w:rsidR="005960CA">
        <w:rPr>
          <w:lang w:bidi="nn-NO"/>
        </w:rPr>
        <w:fldChar w:fldCharType="end"/>
      </w:r>
      <w:r>
        <w:rPr>
          <w:lang w:bidi="nn-NO"/>
        </w:rPr>
        <w:t xml:space="preserve"> skal den ansvarlege gå gjennom støttespørsmåla i vedlegg A. Spørsmåla skal relaterast til det aktuelle området eller delområdet. Spørsmålslista er ikkje uttømande. Den ansvarlege skal supplere med andre spørsmål og vurderingar der ho finn det relevant.</w:t>
      </w:r>
    </w:p>
    <w:p w14:paraId="5395BF74" w14:textId="77777777" w:rsidR="00856BE8" w:rsidRDefault="0099395D" w:rsidP="00F00B0E">
      <w:pPr>
        <w:keepNext/>
      </w:pPr>
      <w:r>
        <w:rPr>
          <w:lang w:bidi="nn-NO"/>
        </w:rPr>
        <w:t xml:space="preserve">Målet med støttespørsmåla er å  </w:t>
      </w:r>
    </w:p>
    <w:p w14:paraId="32DEB263" w14:textId="77777777" w:rsidR="00856BE8" w:rsidRDefault="00760ED5" w:rsidP="00985833">
      <w:pPr>
        <w:numPr>
          <w:ilvl w:val="0"/>
          <w:numId w:val="9"/>
        </w:numPr>
      </w:pPr>
      <w:r>
        <w:rPr>
          <w:lang w:bidi="nn-NO"/>
        </w:rPr>
        <w:t>avdekkje høgaste konsekvensnivå</w:t>
      </w:r>
      <w:r w:rsidR="00566FD2">
        <w:rPr>
          <w:rStyle w:val="Fotnotereferanse"/>
          <w:lang w:bidi="nn-NO"/>
        </w:rPr>
        <w:footnoteReference w:id="2"/>
      </w:r>
      <w:r>
        <w:rPr>
          <w:lang w:bidi="nn-NO"/>
        </w:rPr>
        <w:t xml:space="preserve"> for området</w:t>
      </w:r>
    </w:p>
    <w:p w14:paraId="3780D0A1" w14:textId="77777777" w:rsidR="005B2757" w:rsidRDefault="005B2757" w:rsidP="00985833">
      <w:pPr>
        <w:numPr>
          <w:ilvl w:val="0"/>
          <w:numId w:val="9"/>
        </w:numPr>
      </w:pPr>
      <w:r>
        <w:rPr>
          <w:lang w:bidi="nn-NO"/>
        </w:rPr>
        <w:t>avdekkje antatt høgaste risikonivå</w:t>
      </w:r>
      <w:r w:rsidR="00566FD2">
        <w:rPr>
          <w:rStyle w:val="Fotnotereferanse"/>
          <w:lang w:bidi="nn-NO"/>
        </w:rPr>
        <w:footnoteReference w:id="3"/>
      </w:r>
      <w:r>
        <w:rPr>
          <w:lang w:bidi="nn-NO"/>
        </w:rPr>
        <w:t xml:space="preserve"> for området</w:t>
      </w:r>
    </w:p>
    <w:p w14:paraId="53A4FB2F" w14:textId="77777777" w:rsidR="00C412B7" w:rsidRDefault="00774BEA" w:rsidP="00985833">
      <w:pPr>
        <w:numPr>
          <w:ilvl w:val="0"/>
          <w:numId w:val="9"/>
        </w:numPr>
        <w:spacing w:after="160"/>
      </w:pPr>
      <w:r w:rsidRPr="009626A1">
        <w:rPr>
          <w:lang w:bidi="nn-NO"/>
        </w:rPr>
        <w:lastRenderedPageBreak/>
        <w:t>avdekkje kor usikker den ansvarlege er på om risikoane innan området kan aksepterast</w:t>
      </w:r>
      <w:r w:rsidR="00566FD2">
        <w:rPr>
          <w:rStyle w:val="Fotnotereferanse"/>
          <w:lang w:bidi="nn-NO"/>
        </w:rPr>
        <w:footnoteReference w:id="4"/>
      </w:r>
      <w:r w:rsidRPr="009626A1">
        <w:rPr>
          <w:lang w:bidi="nn-NO"/>
        </w:rPr>
        <w:t xml:space="preserve"> utan ytterlegare risikovurdering og risikohandtering. Nivåa stor, moderat og låg usikkerheit skal brukast. </w:t>
      </w:r>
    </w:p>
    <w:p w14:paraId="2721E6C3" w14:textId="01F31A48" w:rsidR="006F4F87" w:rsidRPr="00E72444" w:rsidRDefault="003A3BEE" w:rsidP="00DF0647">
      <w:pPr>
        <w:spacing w:after="160"/>
      </w:pPr>
      <w:r w:rsidRPr="00D82217">
        <w:rPr>
          <w:lang w:bidi="nn-NO"/>
        </w:rPr>
        <w:t xml:space="preserve">Referanseramma er verksemda sine kriterium for å akseptere risiko, samt normerande skildringar av risikonivå, konsekvensnivå og sannsynsnivå, jf. vedlegg B, C, D og E i retningslinja </w:t>
      </w:r>
      <w:r w:rsidRPr="00D82217">
        <w:rPr>
          <w:i/>
          <w:lang w:bidi="nn-NO"/>
        </w:rPr>
        <w:t>Forstå, vurdere og handtere risiko.</w:t>
      </w:r>
    </w:p>
    <w:p w14:paraId="5A9EA014" w14:textId="77777777" w:rsidR="009E0EF1" w:rsidRDefault="009E0EF1" w:rsidP="00503576">
      <w:pPr>
        <w:spacing w:after="160"/>
      </w:pPr>
      <w:r>
        <w:rPr>
          <w:lang w:bidi="nn-NO"/>
        </w:rPr>
        <w:t xml:space="preserve">Om ein får stor variasjon i usikkerheita for ulike delar av det ein vurderer, bør ein gå tilbake til pkt. </w:t>
      </w:r>
      <w:r w:rsidR="00032309">
        <w:rPr>
          <w:lang w:bidi="nn-NO"/>
        </w:rPr>
        <w:fldChar w:fldCharType="begin"/>
      </w:r>
      <w:r w:rsidR="00032309">
        <w:rPr>
          <w:lang w:bidi="nn-NO"/>
        </w:rPr>
        <w:instrText xml:space="preserve"> REF _Ref485057344 \r \h </w:instrText>
      </w:r>
      <w:r w:rsidR="00032309">
        <w:rPr>
          <w:lang w:bidi="nn-NO"/>
        </w:rPr>
      </w:r>
      <w:r w:rsidR="00032309">
        <w:rPr>
          <w:lang w:bidi="nn-NO"/>
        </w:rPr>
        <w:fldChar w:fldCharType="separate"/>
      </w:r>
      <w:r w:rsidR="00032309">
        <w:rPr>
          <w:lang w:bidi="nn-NO"/>
        </w:rPr>
        <w:t>2.2</w:t>
      </w:r>
      <w:r w:rsidR="00032309">
        <w:rPr>
          <w:lang w:bidi="nn-NO"/>
        </w:rPr>
        <w:fldChar w:fldCharType="end"/>
      </w:r>
      <w:r>
        <w:rPr>
          <w:lang w:bidi="nn-NO"/>
        </w:rPr>
        <w:t xml:space="preserve">, gjere ei ny oppdeling og gjenta pkt. </w:t>
      </w:r>
      <w:r w:rsidR="00032309">
        <w:rPr>
          <w:lang w:bidi="nn-NO"/>
        </w:rPr>
        <w:fldChar w:fldCharType="begin"/>
      </w:r>
      <w:r w:rsidR="00032309">
        <w:rPr>
          <w:lang w:bidi="nn-NO"/>
        </w:rPr>
        <w:instrText xml:space="preserve"> REF _Ref485057531 \r \h </w:instrText>
      </w:r>
      <w:r w:rsidR="00032309">
        <w:rPr>
          <w:lang w:bidi="nn-NO"/>
        </w:rPr>
      </w:r>
      <w:r w:rsidR="00032309">
        <w:rPr>
          <w:lang w:bidi="nn-NO"/>
        </w:rPr>
        <w:fldChar w:fldCharType="separate"/>
      </w:r>
      <w:r w:rsidR="00032309">
        <w:rPr>
          <w:lang w:bidi="nn-NO"/>
        </w:rPr>
        <w:t>2.3</w:t>
      </w:r>
      <w:r w:rsidR="00032309">
        <w:rPr>
          <w:lang w:bidi="nn-NO"/>
        </w:rPr>
        <w:fldChar w:fldCharType="end"/>
      </w:r>
      <w:r>
        <w:rPr>
          <w:lang w:bidi="nn-NO"/>
        </w:rPr>
        <w:t xml:space="preserve"> for aktuelle delar.</w:t>
      </w:r>
    </w:p>
    <w:p w14:paraId="127005EC" w14:textId="77777777" w:rsidR="009E0EF1" w:rsidRDefault="009E0EF1" w:rsidP="00A65045">
      <w:pPr>
        <w:pStyle w:val="Overskrift2"/>
      </w:pPr>
      <w:bookmarkStart w:id="10" w:name="_Toc90481640"/>
      <w:r>
        <w:rPr>
          <w:lang w:bidi="nn-NO"/>
        </w:rPr>
        <w:t>Gjer vedtak på kvart delområde ut frå avgjerdskriteria</w:t>
      </w:r>
      <w:bookmarkEnd w:id="10"/>
      <w:r>
        <w:rPr>
          <w:lang w:bidi="nn-NO"/>
        </w:rPr>
        <w:t xml:space="preserve"> </w:t>
      </w:r>
    </w:p>
    <w:p w14:paraId="6E9FDC5D" w14:textId="77777777" w:rsidR="00726678" w:rsidRDefault="009E0EF1" w:rsidP="00503576">
      <w:pPr>
        <w:spacing w:after="160"/>
      </w:pPr>
      <w:r>
        <w:rPr>
          <w:lang w:bidi="nn-NO"/>
        </w:rPr>
        <w:t xml:space="preserve">Til sist skal den ansvarlege gjere vedtak i samsvar med vedlegg B i denne retningslinja. Vedtaka takast fortløpande for kvart delområde </w:t>
      </w:r>
    </w:p>
    <w:p w14:paraId="05D5CD61" w14:textId="77777777" w:rsidR="00AE73DE" w:rsidRDefault="00CC5B30" w:rsidP="00503576">
      <w:pPr>
        <w:spacing w:after="160"/>
      </w:pPr>
      <w:r>
        <w:rPr>
          <w:lang w:bidi="nn-NO"/>
        </w:rPr>
        <w:t>Tidspunkt for konkrete risikovurderingar skal planleggjast ut frå det.</w:t>
      </w:r>
    </w:p>
    <w:p w14:paraId="7634C3CC" w14:textId="77777777" w:rsidR="00774BEA" w:rsidRDefault="009E0EF1" w:rsidP="007F0B02">
      <w:pPr>
        <w:pStyle w:val="Overskrift1"/>
      </w:pPr>
      <w:bookmarkStart w:id="11" w:name="_Toc90481641"/>
      <w:r>
        <w:rPr>
          <w:lang w:bidi="nn-NO"/>
        </w:rPr>
        <w:t>Dokumentere</w:t>
      </w:r>
      <w:bookmarkEnd w:id="11"/>
    </w:p>
    <w:p w14:paraId="614866D6" w14:textId="77777777" w:rsidR="00BC57A8" w:rsidRDefault="00BC57A8" w:rsidP="00BC57A8">
      <w:pPr>
        <w:spacing w:after="160"/>
      </w:pPr>
      <w:r w:rsidRPr="00651CAA">
        <w:rPr>
          <w:lang w:bidi="nn-NO"/>
        </w:rPr>
        <w:t>Dokumentasjon av gjennomføringa framføre skal som hovudregel skje skriftleg i dei malar, støtteverktøy og arkivløysingar som er etablerte for føremålet.</w:t>
      </w:r>
    </w:p>
    <w:p w14:paraId="319E1827" w14:textId="77777777" w:rsidR="00CC5B30" w:rsidRDefault="00CC5B30" w:rsidP="0088654F">
      <w:r>
        <w:rPr>
          <w:lang w:bidi="nn-NO"/>
        </w:rPr>
        <w:t xml:space="preserve">Når risikovurderingar faktisk gjennomførast skal informasjonen over supplerast med </w:t>
      </w:r>
    </w:p>
    <w:p w14:paraId="1911660A" w14:textId="77777777" w:rsidR="00CC5B30" w:rsidRDefault="00CC5B30" w:rsidP="0088654F">
      <w:pPr>
        <w:numPr>
          <w:ilvl w:val="0"/>
          <w:numId w:val="13"/>
        </w:numPr>
        <w:rPr>
          <w:lang w:eastAsia="nb-NO"/>
        </w:rPr>
      </w:pPr>
      <w:r>
        <w:rPr>
          <w:lang w:bidi="nn-NO"/>
        </w:rPr>
        <w:t>Dato for gjennomført risikovurdering</w:t>
      </w:r>
    </w:p>
    <w:p w14:paraId="4B844741" w14:textId="77777777" w:rsidR="00CC5B30" w:rsidRDefault="00CC5B30" w:rsidP="0088654F">
      <w:pPr>
        <w:numPr>
          <w:ilvl w:val="0"/>
          <w:numId w:val="13"/>
        </w:numPr>
        <w:rPr>
          <w:lang w:eastAsia="nb-NO"/>
        </w:rPr>
      </w:pPr>
      <w:r>
        <w:rPr>
          <w:lang w:bidi="nn-NO"/>
        </w:rPr>
        <w:t>Referanse til dokumentasjon av risikovurderinga</w:t>
      </w:r>
    </w:p>
    <w:p w14:paraId="2CAE563E" w14:textId="77777777" w:rsidR="00CC5B30" w:rsidRDefault="00CC5B30" w:rsidP="0088654F">
      <w:pPr>
        <w:numPr>
          <w:ilvl w:val="0"/>
          <w:numId w:val="13"/>
        </w:numPr>
        <w:rPr>
          <w:lang w:eastAsia="nb-NO"/>
        </w:rPr>
      </w:pPr>
      <w:r>
        <w:rPr>
          <w:lang w:bidi="nn-NO"/>
        </w:rPr>
        <w:t>Høgaste risikonivå identifisert i risikovurderinga</w:t>
      </w:r>
    </w:p>
    <w:p w14:paraId="372F42E5" w14:textId="77777777" w:rsidR="00CC5B30" w:rsidRDefault="00CC5B30" w:rsidP="0088654F">
      <w:pPr>
        <w:numPr>
          <w:ilvl w:val="0"/>
          <w:numId w:val="13"/>
        </w:numPr>
        <w:rPr>
          <w:lang w:eastAsia="nb-NO"/>
        </w:rPr>
      </w:pPr>
      <w:r w:rsidRPr="0088654F">
        <w:rPr>
          <w:lang w:bidi="nn-NO"/>
        </w:rPr>
        <w:t>Kunnskapsstyrke for risikovurderinga samla</w:t>
      </w:r>
    </w:p>
    <w:p w14:paraId="2B2611C7" w14:textId="77777777" w:rsidR="00DD21EA" w:rsidRDefault="00DD21EA" w:rsidP="0088654F">
      <w:pPr>
        <w:rPr>
          <w:lang w:eastAsia="nb-NO"/>
        </w:rPr>
      </w:pPr>
      <w:r>
        <w:rPr>
          <w:lang w:bidi="nn-NO"/>
        </w:rPr>
        <w:t xml:space="preserve">Dette vil skape ei heilskapsoversikt og vere til hjelp når ein seinare skal oppdatere behovsvurderingane. </w:t>
      </w:r>
    </w:p>
    <w:p w14:paraId="6E84B6D0" w14:textId="77777777" w:rsidR="007D0E99" w:rsidRPr="008812E3" w:rsidRDefault="007D0E99" w:rsidP="00BC57A8">
      <w:pPr>
        <w:spacing w:after="160"/>
      </w:pPr>
    </w:p>
    <w:p w14:paraId="74663A40" w14:textId="77777777" w:rsidR="00605ABC" w:rsidRDefault="000D0A7B" w:rsidP="007F0B02">
      <w:pPr>
        <w:pStyle w:val="Overskrift1"/>
        <w:numPr>
          <w:ilvl w:val="0"/>
          <w:numId w:val="0"/>
        </w:numPr>
      </w:pPr>
      <w:r>
        <w:rPr>
          <w:lang w:bidi="nn-NO"/>
        </w:rPr>
        <w:br w:type="page"/>
      </w:r>
      <w:bookmarkStart w:id="12" w:name="_Toc90481642"/>
      <w:r w:rsidR="00733505">
        <w:rPr>
          <w:lang w:bidi="nn-NO"/>
        </w:rPr>
        <w:lastRenderedPageBreak/>
        <w:t>Vedlegg A: Støttespørsmål</w:t>
      </w:r>
      <w:bookmarkEnd w:id="12"/>
    </w:p>
    <w:p w14:paraId="10D5B0A6" w14:textId="77777777" w:rsidR="00151653" w:rsidRDefault="00151653" w:rsidP="00151653">
      <w:pPr>
        <w:spacing w:after="160"/>
      </w:pPr>
      <w:r>
        <w:rPr>
          <w:lang w:bidi="nn-NO"/>
        </w:rPr>
        <w:t xml:space="preserve">Etter kvart temaområde i spørsmåla under, bør ein fortløpande kort reflektere over, og ved behov notere, både antatt høgaste risikonivå og nivå på eiga usikkerheit på om risikoane kan aksepterast som dei er. Dette konkluderast det på til slutt i støttespørsmåla. </w:t>
      </w:r>
    </w:p>
    <w:p w14:paraId="70E68C78" w14:textId="77777777" w:rsidR="00151653" w:rsidRPr="00CE098F" w:rsidRDefault="00151653" w:rsidP="00304F38"/>
    <w:p w14:paraId="57A7D253" w14:textId="77777777" w:rsidR="00304F38" w:rsidRPr="00A65045" w:rsidRDefault="00161759" w:rsidP="004D4F2E">
      <w:pPr>
        <w:keepNext/>
        <w:rPr>
          <w:b/>
        </w:rPr>
      </w:pPr>
      <w:r>
        <w:rPr>
          <w:b/>
          <w:lang w:bidi="nn-NO"/>
        </w:rPr>
        <w:t>Høgaste konsekvensnivå:</w:t>
      </w:r>
      <w:bookmarkStart w:id="13" w:name="_Ref465030573"/>
      <w:r>
        <w:rPr>
          <w:rStyle w:val="Fotnotereferanse"/>
          <w:lang w:bidi="nn-NO"/>
        </w:rPr>
        <w:t xml:space="preserve"> </w:t>
      </w:r>
      <w:bookmarkEnd w:id="13"/>
    </w:p>
    <w:p w14:paraId="5C3CA85F" w14:textId="77777777" w:rsidR="003D5A34" w:rsidRDefault="00967095" w:rsidP="00985833">
      <w:pPr>
        <w:numPr>
          <w:ilvl w:val="0"/>
          <w:numId w:val="5"/>
        </w:numPr>
      </w:pPr>
      <w:r w:rsidRPr="00C175A4">
        <w:rPr>
          <w:lang w:bidi="nn-NO"/>
        </w:rPr>
        <w:t>Kva er høgaste konsekvensnivå innan området</w:t>
      </w:r>
    </w:p>
    <w:p w14:paraId="1E1425C5" w14:textId="650A9743" w:rsidR="00967095" w:rsidRDefault="003D5A34" w:rsidP="00985833">
      <w:pPr>
        <w:numPr>
          <w:ilvl w:val="0"/>
          <w:numId w:val="9"/>
        </w:numPr>
      </w:pPr>
      <w:r>
        <w:rPr>
          <w:lang w:bidi="nn-NO"/>
        </w:rPr>
        <w:t xml:space="preserve">ved brot på konfidensialitet, integritet og tilgjenge? (når risikoar ved </w:t>
      </w:r>
      <w:r w:rsidR="000E1063">
        <w:rPr>
          <w:lang w:bidi="nn-NO"/>
        </w:rPr>
        <w:t>informasjonssikkerheit</w:t>
      </w:r>
      <w:r>
        <w:rPr>
          <w:lang w:bidi="nn-NO"/>
        </w:rPr>
        <w:t xml:space="preserve"> er relevant for vurderinga)</w:t>
      </w:r>
    </w:p>
    <w:p w14:paraId="05F9C791" w14:textId="77777777" w:rsidR="003D5A34" w:rsidRDefault="00D47ABB" w:rsidP="00985833">
      <w:pPr>
        <w:numPr>
          <w:ilvl w:val="0"/>
          <w:numId w:val="9"/>
        </w:numPr>
      </w:pPr>
      <w:r>
        <w:rPr>
          <w:lang w:bidi="nn-NO"/>
        </w:rPr>
        <w:t>ved brot på kvalitetskrav? (om det er relevant for vurderinga)</w:t>
      </w:r>
    </w:p>
    <w:p w14:paraId="5A69C6B6" w14:textId="6259D98D" w:rsidR="005341CD" w:rsidRDefault="00151653" w:rsidP="005341CD">
      <w:pPr>
        <w:spacing w:after="160"/>
      </w:pPr>
      <w:r>
        <w:rPr>
          <w:highlight w:val="yellow"/>
          <w:lang w:bidi="nn-NO"/>
        </w:rPr>
        <w:t xml:space="preserve"> (Det siste kulepunktet fjernast om retningslinja berre skal gjelde </w:t>
      </w:r>
      <w:r w:rsidR="000E1063">
        <w:rPr>
          <w:highlight w:val="yellow"/>
          <w:lang w:bidi="nn-NO"/>
        </w:rPr>
        <w:t>informasjonssikkerheit</w:t>
      </w:r>
      <w:r>
        <w:rPr>
          <w:highlight w:val="yellow"/>
          <w:lang w:bidi="nn-NO"/>
        </w:rPr>
        <w:t>)</w:t>
      </w:r>
    </w:p>
    <w:p w14:paraId="26F9276F" w14:textId="77777777" w:rsidR="00C175A4" w:rsidRPr="00C175A4" w:rsidRDefault="00C175A4" w:rsidP="004D4F2E">
      <w:pPr>
        <w:keepNext/>
        <w:rPr>
          <w:b/>
        </w:rPr>
      </w:pPr>
      <w:r w:rsidRPr="00C175A4">
        <w:rPr>
          <w:b/>
          <w:lang w:bidi="nn-NO"/>
        </w:rPr>
        <w:t>Oversikt:</w:t>
      </w:r>
    </w:p>
    <w:p w14:paraId="3F6A95B5" w14:textId="77777777" w:rsidR="00605ABC" w:rsidRDefault="00605ABC" w:rsidP="00985833">
      <w:pPr>
        <w:numPr>
          <w:ilvl w:val="0"/>
          <w:numId w:val="5"/>
        </w:numPr>
        <w:ind w:left="357" w:hanging="357"/>
      </w:pPr>
      <w:r w:rsidRPr="00D82217">
        <w:rPr>
          <w:lang w:bidi="nn-NO"/>
        </w:rPr>
        <w:t>Kor god oversikt har vi over området?</w:t>
      </w:r>
    </w:p>
    <w:p w14:paraId="76FE060F" w14:textId="77777777" w:rsidR="00EA1F3D" w:rsidRDefault="00EA1F3D" w:rsidP="00985833">
      <w:pPr>
        <w:numPr>
          <w:ilvl w:val="0"/>
          <w:numId w:val="4"/>
        </w:numPr>
      </w:pPr>
      <w:r>
        <w:rPr>
          <w:lang w:bidi="nn-NO"/>
        </w:rPr>
        <w:t>Mål for arbeidet eller tenesta, system som brukast og kven som utfører arbeidet</w:t>
      </w:r>
    </w:p>
    <w:p w14:paraId="0A3B6E54" w14:textId="77777777" w:rsidR="00EA1F3D" w:rsidRDefault="00EA1F3D" w:rsidP="00985833">
      <w:pPr>
        <w:numPr>
          <w:ilvl w:val="0"/>
          <w:numId w:val="9"/>
        </w:numPr>
        <w:spacing w:after="160"/>
      </w:pPr>
      <w:r>
        <w:rPr>
          <w:lang w:bidi="nn-NO"/>
        </w:rPr>
        <w:t>Trugsmål, farar og sårbarheiter</w:t>
      </w:r>
    </w:p>
    <w:p w14:paraId="2504502E" w14:textId="77777777" w:rsidR="00304F38" w:rsidRPr="00A65045" w:rsidRDefault="00304F38" w:rsidP="004D4F2E">
      <w:pPr>
        <w:keepNext/>
        <w:rPr>
          <w:b/>
        </w:rPr>
      </w:pPr>
      <w:r w:rsidRPr="00A65045">
        <w:rPr>
          <w:b/>
          <w:lang w:bidi="nn-NO"/>
        </w:rPr>
        <w:t>Tidlegare risikovurderingar og risikohandtering:</w:t>
      </w:r>
    </w:p>
    <w:p w14:paraId="3184A903" w14:textId="77777777" w:rsidR="00304F38" w:rsidRDefault="00312FDD" w:rsidP="00985833">
      <w:pPr>
        <w:numPr>
          <w:ilvl w:val="0"/>
          <w:numId w:val="5"/>
        </w:numPr>
      </w:pPr>
      <w:r>
        <w:rPr>
          <w:lang w:bidi="nn-NO"/>
        </w:rPr>
        <w:t>Er det tidlegare gjort gode risikovurderingar og ei systematisk risikohandtering på dette eller direkte samanliknbare område?</w:t>
      </w:r>
    </w:p>
    <w:p w14:paraId="4954A9B0" w14:textId="77777777" w:rsidR="00312FDD" w:rsidRPr="00D82217" w:rsidRDefault="00312FDD" w:rsidP="00985833">
      <w:pPr>
        <w:numPr>
          <w:ilvl w:val="1"/>
          <w:numId w:val="5"/>
        </w:numPr>
        <w:tabs>
          <w:tab w:val="left" w:pos="709"/>
        </w:tabs>
        <w:ind w:left="709" w:hanging="283"/>
      </w:pPr>
      <w:r w:rsidRPr="00A65045">
        <w:rPr>
          <w:lang w:bidi="nn-NO"/>
        </w:rPr>
        <w:t>av oss eller andre vi har stor tillit til</w:t>
      </w:r>
    </w:p>
    <w:p w14:paraId="4FFE975C" w14:textId="2BFBEBDD" w:rsidR="007A1F51" w:rsidRDefault="007A1F51" w:rsidP="00985833">
      <w:pPr>
        <w:numPr>
          <w:ilvl w:val="0"/>
          <w:numId w:val="5"/>
        </w:numPr>
      </w:pPr>
      <w:r>
        <w:rPr>
          <w:lang w:bidi="nn-NO"/>
        </w:rPr>
        <w:t xml:space="preserve">I kva grad kjenner vi oss trygge på at tidlegare arbeid med identifisering og val rundt alternative arbeidsmåtar og risikoreduserande </w:t>
      </w:r>
      <w:r w:rsidR="000E1063">
        <w:rPr>
          <w:lang w:bidi="nn-NO"/>
        </w:rPr>
        <w:t>tryggingstiltak</w:t>
      </w:r>
      <w:r>
        <w:rPr>
          <w:lang w:bidi="nn-NO"/>
        </w:rPr>
        <w:t>, dekkjer risikoane og krava våre rundt desse i kriteria våre for å akseptere risikoar?</w:t>
      </w:r>
    </w:p>
    <w:p w14:paraId="750176C4" w14:textId="77777777" w:rsidR="007A1F51" w:rsidRDefault="007A1F51" w:rsidP="00985833">
      <w:pPr>
        <w:numPr>
          <w:ilvl w:val="1"/>
          <w:numId w:val="5"/>
        </w:numPr>
        <w:tabs>
          <w:tab w:val="left" w:pos="709"/>
        </w:tabs>
        <w:ind w:left="709" w:hanging="283"/>
      </w:pPr>
      <w:r>
        <w:rPr>
          <w:lang w:bidi="nn-NO"/>
        </w:rPr>
        <w:t>gjennom m.a. verksemda si fellessikring og vår tilleggssikring</w:t>
      </w:r>
    </w:p>
    <w:p w14:paraId="54362EF2" w14:textId="77777777" w:rsidR="002E580F" w:rsidRDefault="002E580F" w:rsidP="00985833">
      <w:pPr>
        <w:numPr>
          <w:ilvl w:val="0"/>
          <w:numId w:val="5"/>
        </w:numPr>
      </w:pPr>
      <w:r>
        <w:rPr>
          <w:lang w:bidi="nn-NO"/>
        </w:rPr>
        <w:t>Er det vesentlege delområde eller risikoar som ikkje er vurderte eller handterte godt nok?</w:t>
      </w:r>
    </w:p>
    <w:p w14:paraId="3DB3C990" w14:textId="77777777" w:rsidR="002A2142" w:rsidRDefault="001D2D8B" w:rsidP="00985833">
      <w:pPr>
        <w:numPr>
          <w:ilvl w:val="1"/>
          <w:numId w:val="5"/>
        </w:numPr>
        <w:tabs>
          <w:tab w:val="left" w:pos="709"/>
        </w:tabs>
        <w:ind w:left="709" w:hanging="283"/>
      </w:pPr>
      <w:r>
        <w:rPr>
          <w:lang w:bidi="nn-NO"/>
        </w:rPr>
        <w:t>pga. manglande tid og kompetanse</w:t>
      </w:r>
    </w:p>
    <w:p w14:paraId="35487660" w14:textId="77777777" w:rsidR="008B6AFD" w:rsidRDefault="002A2142" w:rsidP="00985833">
      <w:pPr>
        <w:numPr>
          <w:ilvl w:val="1"/>
          <w:numId w:val="5"/>
        </w:numPr>
        <w:tabs>
          <w:tab w:val="left" w:pos="709"/>
        </w:tabs>
        <w:spacing w:after="160"/>
        <w:ind w:left="709" w:hanging="284"/>
      </w:pPr>
      <w:r>
        <w:rPr>
          <w:lang w:bidi="nn-NO"/>
        </w:rPr>
        <w:t>pga. usikkerheit rundt sentrale delar av området eller usikkerheit rundt trugsmål, farar og sårbarheiter</w:t>
      </w:r>
    </w:p>
    <w:p w14:paraId="37F20B48" w14:textId="77777777" w:rsidR="00272279" w:rsidRPr="00A65045" w:rsidRDefault="00272279" w:rsidP="004D4F2E">
      <w:pPr>
        <w:keepNext/>
        <w:rPr>
          <w:b/>
        </w:rPr>
      </w:pPr>
      <w:r w:rsidRPr="00A65045">
        <w:rPr>
          <w:b/>
          <w:lang w:bidi="nn-NO"/>
        </w:rPr>
        <w:t>Nye faktorar:</w:t>
      </w:r>
    </w:p>
    <w:p w14:paraId="5BA78ACB" w14:textId="77777777" w:rsidR="00605ABC" w:rsidRDefault="00253CCD" w:rsidP="00985833">
      <w:pPr>
        <w:numPr>
          <w:ilvl w:val="0"/>
          <w:numId w:val="5"/>
        </w:numPr>
        <w:ind w:left="357" w:hanging="357"/>
      </w:pPr>
      <w:r>
        <w:rPr>
          <w:lang w:bidi="nn-NO"/>
        </w:rPr>
        <w:t>Har det skjedd vesentlege endringar i oppgåveløysinga, tenesteutforminga, informasjonsbehandlinga, trugsmål, farar eller rundt sårbarheiter?</w:t>
      </w:r>
    </w:p>
    <w:p w14:paraId="45846C15" w14:textId="77777777" w:rsidR="00605ABC" w:rsidRDefault="00605ABC" w:rsidP="00985833">
      <w:pPr>
        <w:numPr>
          <w:ilvl w:val="0"/>
          <w:numId w:val="5"/>
        </w:numPr>
        <w:ind w:left="357" w:hanging="357"/>
      </w:pPr>
      <w:r>
        <w:rPr>
          <w:lang w:bidi="nn-NO"/>
        </w:rPr>
        <w:t>Har vi fått indikasjonar frå avviks- og hendingshandteringa, revisjonsrapportar e.l. som indikerer at tidlegare risikovurderingar og risikohandtering ikkje lenger er gode nok?</w:t>
      </w:r>
    </w:p>
    <w:p w14:paraId="04332F69" w14:textId="77777777" w:rsidR="00605ABC" w:rsidRDefault="00605ABC" w:rsidP="00985833">
      <w:pPr>
        <w:numPr>
          <w:ilvl w:val="0"/>
          <w:numId w:val="5"/>
        </w:numPr>
        <w:spacing w:after="160"/>
        <w:ind w:left="357" w:hanging="357"/>
      </w:pPr>
      <w:r>
        <w:rPr>
          <w:lang w:bidi="nn-NO"/>
        </w:rPr>
        <w:t>Har vi fått tilbakemeldingar frå nøkkelpersonell om vesentleg usikkerheit på om risikovurderingar og tiltak er gode nok?</w:t>
      </w:r>
    </w:p>
    <w:p w14:paraId="3AAE7116" w14:textId="77777777" w:rsidR="00573413" w:rsidRDefault="00573413" w:rsidP="004D4F2E">
      <w:pPr>
        <w:keepNext/>
        <w:rPr>
          <w:b/>
        </w:rPr>
      </w:pPr>
      <w:r w:rsidRPr="00A65045">
        <w:rPr>
          <w:b/>
          <w:lang w:bidi="nn-NO"/>
        </w:rPr>
        <w:t>Usikkerheit om risikoaksept</w:t>
      </w:r>
    </w:p>
    <w:p w14:paraId="51353DB2" w14:textId="77777777" w:rsidR="00CA7AEC" w:rsidRPr="00D82217" w:rsidRDefault="00CA7AEC" w:rsidP="00985833">
      <w:pPr>
        <w:numPr>
          <w:ilvl w:val="0"/>
          <w:numId w:val="5"/>
        </w:numPr>
        <w:ind w:left="357" w:hanging="357"/>
      </w:pPr>
      <w:r>
        <w:rPr>
          <w:lang w:bidi="nn-NO"/>
        </w:rPr>
        <w:t>Kva går vi ut frå er det høgaste risikonivået ut frå tidlegare risikovurderingar og vurderinga over?</w:t>
      </w:r>
    </w:p>
    <w:p w14:paraId="028CB44D" w14:textId="77777777" w:rsidR="00573413" w:rsidRDefault="00573413" w:rsidP="00985833">
      <w:pPr>
        <w:numPr>
          <w:ilvl w:val="0"/>
          <w:numId w:val="5"/>
        </w:numPr>
        <w:spacing w:after="160"/>
        <w:ind w:left="357" w:hanging="357"/>
      </w:pPr>
      <w:r>
        <w:rPr>
          <w:lang w:bidi="nn-NO"/>
        </w:rPr>
        <w:t>Kor stor usikkerheit har vi om risikoane på området kan aksepterast i samsvar med verksemda sine kriterium for å akseptere risiko? (Høg, moderat eller låg usikkerheit)</w:t>
      </w:r>
    </w:p>
    <w:p w14:paraId="6AEDB142" w14:textId="77777777" w:rsidR="00605ABC" w:rsidRDefault="000D0A7B" w:rsidP="007F0B02">
      <w:pPr>
        <w:pStyle w:val="Overskrift1"/>
        <w:numPr>
          <w:ilvl w:val="0"/>
          <w:numId w:val="0"/>
        </w:numPr>
      </w:pPr>
      <w:r>
        <w:rPr>
          <w:lang w:bidi="nn-NO"/>
        </w:rPr>
        <w:br w:type="page"/>
      </w:r>
      <w:bookmarkStart w:id="14" w:name="_Toc90481643"/>
      <w:r w:rsidR="00733505">
        <w:rPr>
          <w:lang w:bidi="nn-NO"/>
        </w:rPr>
        <w:lastRenderedPageBreak/>
        <w:t>Vedlegg B: Vedtakskriterium</w:t>
      </w:r>
      <w:bookmarkEnd w:id="14"/>
    </w:p>
    <w:p w14:paraId="3BB60F2A" w14:textId="77777777" w:rsidR="007B7296" w:rsidRDefault="00B91B2B" w:rsidP="00B91B2B">
      <w:r w:rsidRPr="00783588">
        <w:rPr>
          <w:b/>
          <w:lang w:bidi="nn-NO"/>
        </w:rPr>
        <w:t xml:space="preserve">Vel prioriteringsgruppe for området </w:t>
      </w:r>
      <w:r w:rsidRPr="00783588">
        <w:rPr>
          <w:lang w:bidi="nn-NO"/>
        </w:rPr>
        <w:t>ut frå</w:t>
      </w:r>
    </w:p>
    <w:p w14:paraId="52709519" w14:textId="77777777" w:rsidR="00B91B2B" w:rsidRDefault="00397F6B" w:rsidP="00985833">
      <w:pPr>
        <w:numPr>
          <w:ilvl w:val="0"/>
          <w:numId w:val="6"/>
        </w:numPr>
      </w:pPr>
      <w:r>
        <w:rPr>
          <w:lang w:bidi="nn-NO"/>
        </w:rPr>
        <w:t>Høgaste konsekvensnivå frå spørsmål 1</w:t>
      </w:r>
    </w:p>
    <w:p w14:paraId="6D2CE1E0" w14:textId="69BF77C5" w:rsidR="00717D7F" w:rsidRDefault="00A60934" w:rsidP="00FA0AD5">
      <w:pPr>
        <w:numPr>
          <w:ilvl w:val="0"/>
          <w:numId w:val="6"/>
        </w:numPr>
        <w:spacing w:after="120"/>
      </w:pPr>
      <w:r>
        <w:rPr>
          <w:lang w:bidi="nn-NO"/>
        </w:rPr>
        <w:t>Nivå på usikkerheit frå spørsmål 10</w:t>
      </w:r>
    </w:p>
    <w:tbl>
      <w:tblPr>
        <w:tblpPr w:leftFromText="141" w:rightFromText="141" w:vertAnchor="text" w:tblpX="7" w:tblpY="1"/>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134"/>
        <w:gridCol w:w="1276"/>
        <w:gridCol w:w="1276"/>
        <w:gridCol w:w="1275"/>
      </w:tblGrid>
      <w:tr w:rsidR="004B2878" w:rsidRPr="002F1821" w14:paraId="494EABF7" w14:textId="77777777" w:rsidTr="00B43010">
        <w:trPr>
          <w:cantSplit/>
          <w:trHeight w:val="283"/>
        </w:trPr>
        <w:tc>
          <w:tcPr>
            <w:tcW w:w="2518" w:type="dxa"/>
            <w:gridSpan w:val="2"/>
            <w:tcBorders>
              <w:top w:val="single" w:sz="4" w:space="0" w:color="auto"/>
              <w:left w:val="single" w:sz="4" w:space="0" w:color="auto"/>
              <w:bottom w:val="single" w:sz="4" w:space="0" w:color="auto"/>
              <w:right w:val="single" w:sz="4" w:space="0" w:color="auto"/>
            </w:tcBorders>
            <w:shd w:val="clear" w:color="auto" w:fill="E7E6E6"/>
          </w:tcPr>
          <w:p w14:paraId="6DE233FA" w14:textId="77777777" w:rsidR="004B2878" w:rsidRPr="004B2878" w:rsidRDefault="004B2878" w:rsidP="004B2878">
            <w:pPr>
              <w:jc w:val="center"/>
              <w:rPr>
                <w:b/>
                <w:sz w:val="22"/>
                <w:szCs w:val="22"/>
              </w:rPr>
            </w:pPr>
            <w:r w:rsidRPr="004B2878">
              <w:rPr>
                <w:b/>
                <w:sz w:val="22"/>
                <w:szCs w:val="22"/>
                <w:lang w:bidi="nn-NO"/>
              </w:rPr>
              <w:t>Usikkerheit om risikoane kan aksepterast</w:t>
            </w:r>
          </w:p>
        </w:tc>
        <w:tc>
          <w:tcPr>
            <w:tcW w:w="4961" w:type="dxa"/>
            <w:gridSpan w:val="4"/>
            <w:tcBorders>
              <w:top w:val="nil"/>
              <w:left w:val="single" w:sz="4" w:space="0" w:color="auto"/>
              <w:bottom w:val="single" w:sz="4" w:space="0" w:color="auto"/>
              <w:right w:val="nil"/>
            </w:tcBorders>
            <w:shd w:val="clear" w:color="auto" w:fill="auto"/>
            <w:vAlign w:val="bottom"/>
          </w:tcPr>
          <w:p w14:paraId="19F0E35A" w14:textId="77777777" w:rsidR="004B2878" w:rsidRDefault="004B2878" w:rsidP="004B2878">
            <w:pPr>
              <w:jc w:val="center"/>
              <w:rPr>
                <w:b/>
                <w:sz w:val="22"/>
                <w:szCs w:val="22"/>
              </w:rPr>
            </w:pPr>
          </w:p>
        </w:tc>
      </w:tr>
      <w:tr w:rsidR="004B2878" w:rsidRPr="002F1821" w14:paraId="6369C2C0" w14:textId="77777777" w:rsidTr="00B43010">
        <w:trPr>
          <w:cantSplit/>
          <w:trHeight w:val="283"/>
        </w:trPr>
        <w:tc>
          <w:tcPr>
            <w:tcW w:w="675" w:type="dxa"/>
            <w:vMerge w:val="restart"/>
            <w:tcBorders>
              <w:top w:val="single" w:sz="4" w:space="0" w:color="auto"/>
              <w:left w:val="single" w:sz="4" w:space="0" w:color="auto"/>
              <w:right w:val="single" w:sz="6" w:space="0" w:color="auto"/>
            </w:tcBorders>
            <w:shd w:val="clear" w:color="auto" w:fill="E7E6E6"/>
            <w:textDirection w:val="btLr"/>
            <w:vAlign w:val="bottom"/>
          </w:tcPr>
          <w:p w14:paraId="6A280C61" w14:textId="77777777" w:rsidR="004B2878" w:rsidRPr="004B2878" w:rsidRDefault="004B2878" w:rsidP="004B2878">
            <w:pPr>
              <w:ind w:left="113" w:right="113"/>
              <w:jc w:val="center"/>
              <w:rPr>
                <w:b/>
                <w:sz w:val="22"/>
                <w:szCs w:val="22"/>
              </w:rPr>
            </w:pPr>
            <w:r>
              <w:rPr>
                <w:b/>
                <w:sz w:val="22"/>
                <w:szCs w:val="22"/>
                <w:lang w:bidi="nn-NO"/>
              </w:rPr>
              <w:t>Nivå usikkerheit</w:t>
            </w:r>
          </w:p>
        </w:tc>
        <w:tc>
          <w:tcPr>
            <w:tcW w:w="1843" w:type="dxa"/>
            <w:tcBorders>
              <w:top w:val="single" w:sz="4" w:space="0" w:color="auto"/>
              <w:left w:val="single" w:sz="6" w:space="0" w:color="auto"/>
              <w:bottom w:val="single" w:sz="4" w:space="0" w:color="auto"/>
              <w:right w:val="single" w:sz="4" w:space="0" w:color="auto"/>
            </w:tcBorders>
            <w:shd w:val="clear" w:color="auto" w:fill="E7E6E6"/>
            <w:vAlign w:val="center"/>
          </w:tcPr>
          <w:p w14:paraId="1D6FC36D" w14:textId="77777777" w:rsidR="004B2878" w:rsidRDefault="004B2878" w:rsidP="004B2878">
            <w:pPr>
              <w:jc w:val="center"/>
              <w:rPr>
                <w:b/>
                <w:sz w:val="22"/>
                <w:szCs w:val="22"/>
              </w:rPr>
            </w:pPr>
          </w:p>
          <w:p w14:paraId="63A8EC6F" w14:textId="77777777" w:rsidR="00B43010" w:rsidRPr="00D6743B" w:rsidRDefault="00B43010" w:rsidP="004B2878">
            <w:pPr>
              <w:jc w:val="center"/>
              <w:rPr>
                <w:b/>
                <w:sz w:val="22"/>
                <w:szCs w:val="22"/>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83553C" w14:textId="77777777" w:rsidR="004B2878" w:rsidRPr="00D6743B" w:rsidRDefault="004B2878" w:rsidP="004B2878">
            <w:pPr>
              <w:jc w:val="center"/>
              <w:rPr>
                <w:b/>
                <w:sz w:val="22"/>
                <w:szCs w:val="22"/>
              </w:rPr>
            </w:pPr>
            <w:r>
              <w:rPr>
                <w:b/>
                <w:sz w:val="22"/>
                <w:szCs w:val="22"/>
                <w:lang w:bidi="nn-NO"/>
              </w:rPr>
              <w:t>Prioritetsgruppe for risikovurderingar</w:t>
            </w:r>
          </w:p>
        </w:tc>
      </w:tr>
      <w:tr w:rsidR="004B2878" w:rsidRPr="002F1821" w14:paraId="7FEA840B" w14:textId="77777777" w:rsidTr="004047E0">
        <w:trPr>
          <w:trHeight w:val="283"/>
        </w:trPr>
        <w:tc>
          <w:tcPr>
            <w:tcW w:w="675" w:type="dxa"/>
            <w:vMerge/>
            <w:tcBorders>
              <w:left w:val="single" w:sz="4" w:space="0" w:color="auto"/>
              <w:right w:val="single" w:sz="6" w:space="0" w:color="auto"/>
            </w:tcBorders>
            <w:shd w:val="clear" w:color="auto" w:fill="E7E6E6"/>
          </w:tcPr>
          <w:p w14:paraId="6B61256D" w14:textId="77777777" w:rsidR="004B2878" w:rsidRPr="00D6743B" w:rsidRDefault="004B2878" w:rsidP="004B2878">
            <w:pPr>
              <w:jc w:val="center"/>
              <w:rPr>
                <w:sz w:val="22"/>
                <w:szCs w:val="22"/>
              </w:rPr>
            </w:pPr>
          </w:p>
        </w:tc>
        <w:tc>
          <w:tcPr>
            <w:tcW w:w="1843" w:type="dxa"/>
            <w:tcBorders>
              <w:top w:val="single" w:sz="4" w:space="0" w:color="auto"/>
              <w:left w:val="single" w:sz="6" w:space="0" w:color="auto"/>
              <w:bottom w:val="single" w:sz="6" w:space="0" w:color="auto"/>
              <w:right w:val="single" w:sz="4" w:space="0" w:color="auto"/>
            </w:tcBorders>
            <w:shd w:val="clear" w:color="auto" w:fill="E7E6E6"/>
          </w:tcPr>
          <w:p w14:paraId="08E5B319" w14:textId="77777777" w:rsidR="004B2878" w:rsidRPr="00F15CE5" w:rsidRDefault="004B2878" w:rsidP="004B2878">
            <w:pPr>
              <w:jc w:val="center"/>
              <w:rPr>
                <w:b/>
                <w:sz w:val="22"/>
                <w:szCs w:val="22"/>
              </w:rPr>
            </w:pPr>
            <w:r w:rsidRPr="00F15CE5">
              <w:rPr>
                <w:b/>
                <w:sz w:val="22"/>
                <w:szCs w:val="22"/>
                <w:lang w:bidi="nn-NO"/>
              </w:rPr>
              <w:t>Høg</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F147A28" w14:textId="77777777" w:rsidR="004B2878" w:rsidRPr="00D6743B" w:rsidRDefault="004047E0" w:rsidP="004B2878">
            <w:pPr>
              <w:jc w:val="center"/>
              <w:rPr>
                <w:sz w:val="22"/>
                <w:szCs w:val="22"/>
              </w:rPr>
            </w:pPr>
            <w:r>
              <w:rPr>
                <w:sz w:val="22"/>
                <w:szCs w:val="22"/>
                <w:lang w:bidi="nn-NO"/>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9F3395" w14:textId="77777777" w:rsidR="004B2878" w:rsidRPr="00D6743B" w:rsidRDefault="004047E0" w:rsidP="004B2878">
            <w:pPr>
              <w:jc w:val="center"/>
              <w:rPr>
                <w:sz w:val="22"/>
                <w:szCs w:val="22"/>
              </w:rPr>
            </w:pPr>
            <w:r>
              <w:rPr>
                <w:sz w:val="22"/>
                <w:szCs w:val="22"/>
                <w:lang w:bidi="nn-NO"/>
              </w:rPr>
              <w:t>4</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198AE06E" w14:textId="77777777" w:rsidR="004B2878" w:rsidRPr="00D6743B" w:rsidRDefault="004B2878" w:rsidP="004B2878">
            <w:pPr>
              <w:jc w:val="center"/>
              <w:rPr>
                <w:sz w:val="22"/>
                <w:szCs w:val="22"/>
              </w:rPr>
            </w:pPr>
            <w:r>
              <w:rPr>
                <w:sz w:val="22"/>
                <w:szCs w:val="22"/>
                <w:lang w:bidi="nn-NO"/>
              </w:rPr>
              <w:t>2</w:t>
            </w:r>
          </w:p>
        </w:tc>
        <w:tc>
          <w:tcPr>
            <w:tcW w:w="1275" w:type="dxa"/>
            <w:tcBorders>
              <w:top w:val="single" w:sz="4" w:space="0" w:color="auto"/>
              <w:left w:val="single" w:sz="4" w:space="0" w:color="auto"/>
              <w:bottom w:val="single" w:sz="4" w:space="0" w:color="auto"/>
              <w:right w:val="single" w:sz="4" w:space="0" w:color="auto"/>
            </w:tcBorders>
            <w:shd w:val="clear" w:color="auto" w:fill="FF0000"/>
          </w:tcPr>
          <w:p w14:paraId="7FD094D4" w14:textId="77777777" w:rsidR="004B2878" w:rsidRPr="00D6743B" w:rsidRDefault="004B2878" w:rsidP="004B2878">
            <w:pPr>
              <w:jc w:val="center"/>
              <w:rPr>
                <w:sz w:val="22"/>
                <w:szCs w:val="22"/>
              </w:rPr>
            </w:pPr>
            <w:r>
              <w:rPr>
                <w:sz w:val="22"/>
                <w:szCs w:val="22"/>
                <w:lang w:bidi="nn-NO"/>
              </w:rPr>
              <w:t>1</w:t>
            </w:r>
          </w:p>
        </w:tc>
      </w:tr>
      <w:tr w:rsidR="004B2878" w:rsidRPr="002F1821" w14:paraId="4FDBDE85" w14:textId="77777777" w:rsidTr="00BB7F0D">
        <w:trPr>
          <w:trHeight w:val="283"/>
        </w:trPr>
        <w:tc>
          <w:tcPr>
            <w:tcW w:w="675" w:type="dxa"/>
            <w:vMerge/>
            <w:tcBorders>
              <w:left w:val="single" w:sz="4" w:space="0" w:color="auto"/>
              <w:right w:val="single" w:sz="6" w:space="0" w:color="auto"/>
            </w:tcBorders>
            <w:shd w:val="clear" w:color="auto" w:fill="E7E6E6"/>
          </w:tcPr>
          <w:p w14:paraId="62D8A416" w14:textId="77777777" w:rsidR="004B2878" w:rsidRPr="00D6743B" w:rsidRDefault="004B2878" w:rsidP="004B2878">
            <w:pPr>
              <w:jc w:val="center"/>
              <w:rPr>
                <w:sz w:val="22"/>
                <w:szCs w:val="22"/>
              </w:rPr>
            </w:pPr>
          </w:p>
        </w:tc>
        <w:tc>
          <w:tcPr>
            <w:tcW w:w="1843" w:type="dxa"/>
            <w:tcBorders>
              <w:top w:val="single" w:sz="6" w:space="0" w:color="auto"/>
              <w:left w:val="single" w:sz="6" w:space="0" w:color="auto"/>
              <w:bottom w:val="single" w:sz="6" w:space="0" w:color="auto"/>
              <w:right w:val="single" w:sz="4" w:space="0" w:color="auto"/>
            </w:tcBorders>
            <w:shd w:val="clear" w:color="auto" w:fill="E7E6E6"/>
          </w:tcPr>
          <w:p w14:paraId="2C1BD734" w14:textId="77777777" w:rsidR="004B2878" w:rsidRPr="00F15CE5" w:rsidRDefault="004B2878" w:rsidP="004B2878">
            <w:pPr>
              <w:jc w:val="center"/>
              <w:rPr>
                <w:b/>
                <w:sz w:val="22"/>
                <w:szCs w:val="22"/>
              </w:rPr>
            </w:pPr>
            <w:r w:rsidRPr="00F15CE5">
              <w:rPr>
                <w:b/>
                <w:sz w:val="22"/>
                <w:szCs w:val="22"/>
                <w:lang w:bidi="nn-NO"/>
              </w:rPr>
              <w:t>Moderat</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31BBF5B" w14:textId="77777777" w:rsidR="004B2878" w:rsidRPr="00D6743B" w:rsidRDefault="00BB7F0D" w:rsidP="004B2878">
            <w:pPr>
              <w:jc w:val="center"/>
              <w:rPr>
                <w:sz w:val="22"/>
                <w:szCs w:val="22"/>
              </w:rPr>
            </w:pPr>
            <w:r>
              <w:rPr>
                <w:sz w:val="22"/>
                <w:szCs w:val="22"/>
                <w:lang w:bidi="nn-NO"/>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88DB41" w14:textId="77777777" w:rsidR="004B2878" w:rsidRPr="00D6743B" w:rsidRDefault="004047E0" w:rsidP="004B2878">
            <w:pPr>
              <w:jc w:val="center"/>
              <w:rPr>
                <w:sz w:val="22"/>
                <w:szCs w:val="22"/>
              </w:rPr>
            </w:pPr>
            <w:r>
              <w:rPr>
                <w:sz w:val="22"/>
                <w:szCs w:val="22"/>
                <w:lang w:bidi="nn-NO"/>
              </w:rPr>
              <w:t>5</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0F50143F" w14:textId="77777777" w:rsidR="004B2878" w:rsidRPr="00D6743B" w:rsidRDefault="004B2878" w:rsidP="004B2878">
            <w:pPr>
              <w:jc w:val="center"/>
              <w:rPr>
                <w:sz w:val="22"/>
                <w:szCs w:val="22"/>
              </w:rPr>
            </w:pPr>
            <w:r>
              <w:rPr>
                <w:sz w:val="22"/>
                <w:szCs w:val="22"/>
                <w:lang w:bidi="nn-NO"/>
              </w:rPr>
              <w:t>3</w:t>
            </w:r>
          </w:p>
        </w:tc>
        <w:tc>
          <w:tcPr>
            <w:tcW w:w="1275" w:type="dxa"/>
            <w:tcBorders>
              <w:top w:val="single" w:sz="4" w:space="0" w:color="auto"/>
              <w:left w:val="single" w:sz="4" w:space="0" w:color="auto"/>
              <w:bottom w:val="single" w:sz="4" w:space="0" w:color="auto"/>
              <w:right w:val="single" w:sz="4" w:space="0" w:color="auto"/>
            </w:tcBorders>
            <w:shd w:val="clear" w:color="auto" w:fill="FF0000"/>
          </w:tcPr>
          <w:p w14:paraId="0E25813E" w14:textId="77777777" w:rsidR="004B2878" w:rsidRPr="00D6743B" w:rsidRDefault="004B2878" w:rsidP="004B2878">
            <w:pPr>
              <w:jc w:val="center"/>
              <w:rPr>
                <w:sz w:val="22"/>
                <w:szCs w:val="22"/>
              </w:rPr>
            </w:pPr>
            <w:r>
              <w:rPr>
                <w:sz w:val="22"/>
                <w:szCs w:val="22"/>
                <w:lang w:bidi="nn-NO"/>
              </w:rPr>
              <w:t>2</w:t>
            </w:r>
          </w:p>
        </w:tc>
      </w:tr>
      <w:tr w:rsidR="004B2878" w:rsidRPr="002F1821" w14:paraId="0ABB33FF" w14:textId="77777777" w:rsidTr="00436F1F">
        <w:trPr>
          <w:trHeight w:val="283"/>
        </w:trPr>
        <w:tc>
          <w:tcPr>
            <w:tcW w:w="675" w:type="dxa"/>
            <w:vMerge/>
            <w:tcBorders>
              <w:left w:val="single" w:sz="4" w:space="0" w:color="auto"/>
              <w:bottom w:val="single" w:sz="4" w:space="0" w:color="auto"/>
              <w:right w:val="single" w:sz="6" w:space="0" w:color="auto"/>
            </w:tcBorders>
            <w:shd w:val="clear" w:color="auto" w:fill="E7E6E6"/>
          </w:tcPr>
          <w:p w14:paraId="40F47A98" w14:textId="77777777" w:rsidR="004B2878" w:rsidRPr="00D6743B" w:rsidRDefault="004B2878" w:rsidP="004B2878">
            <w:pPr>
              <w:jc w:val="center"/>
              <w:rPr>
                <w:sz w:val="22"/>
                <w:szCs w:val="22"/>
              </w:rPr>
            </w:pPr>
          </w:p>
        </w:tc>
        <w:tc>
          <w:tcPr>
            <w:tcW w:w="1843" w:type="dxa"/>
            <w:tcBorders>
              <w:top w:val="single" w:sz="6" w:space="0" w:color="auto"/>
              <w:left w:val="single" w:sz="6" w:space="0" w:color="auto"/>
              <w:bottom w:val="single" w:sz="4" w:space="0" w:color="auto"/>
              <w:right w:val="single" w:sz="4" w:space="0" w:color="auto"/>
            </w:tcBorders>
            <w:shd w:val="clear" w:color="auto" w:fill="E7E6E6"/>
          </w:tcPr>
          <w:p w14:paraId="7E0FF0BB" w14:textId="77777777" w:rsidR="004B2878" w:rsidRPr="00F15CE5" w:rsidRDefault="004B2878" w:rsidP="004B2878">
            <w:pPr>
              <w:jc w:val="center"/>
              <w:rPr>
                <w:b/>
                <w:sz w:val="22"/>
                <w:szCs w:val="22"/>
              </w:rPr>
            </w:pPr>
            <w:r w:rsidRPr="00F15CE5">
              <w:rPr>
                <w:b/>
                <w:sz w:val="22"/>
                <w:szCs w:val="22"/>
                <w:lang w:bidi="nn-NO"/>
              </w:rPr>
              <w:t>Låg</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4933C21" w14:textId="77777777" w:rsidR="004B2878" w:rsidRPr="00D6743B" w:rsidRDefault="004B2878" w:rsidP="004B2878">
            <w:pPr>
              <w:jc w:val="center"/>
              <w:rPr>
                <w:sz w:val="22"/>
                <w:szCs w:val="22"/>
              </w:rPr>
            </w:pPr>
            <w:r>
              <w:rPr>
                <w:sz w:val="22"/>
                <w:szCs w:val="22"/>
                <w:lang w:bidi="nn-NO"/>
              </w:rPr>
              <w:t>0</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F76A41D" w14:textId="77777777" w:rsidR="004B2878" w:rsidRPr="00D6743B" w:rsidRDefault="004B2878" w:rsidP="004B2878">
            <w:pPr>
              <w:jc w:val="center"/>
              <w:rPr>
                <w:sz w:val="22"/>
                <w:szCs w:val="22"/>
              </w:rPr>
            </w:pPr>
            <w:r>
              <w:rPr>
                <w:sz w:val="22"/>
                <w:szCs w:val="22"/>
                <w:lang w:bidi="nn-NO"/>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82DC7A" w14:textId="77777777" w:rsidR="004B2878" w:rsidRPr="00D6743B" w:rsidRDefault="00BB7F0D" w:rsidP="004B2878">
            <w:pPr>
              <w:jc w:val="center"/>
              <w:rPr>
                <w:sz w:val="22"/>
                <w:szCs w:val="22"/>
              </w:rPr>
            </w:pPr>
            <w:r>
              <w:rPr>
                <w:sz w:val="22"/>
                <w:szCs w:val="22"/>
                <w:lang w:bidi="nn-NO"/>
              </w:rPr>
              <w:t>6</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8511C65" w14:textId="77777777" w:rsidR="004B2878" w:rsidRPr="00D6743B" w:rsidRDefault="00BB7F0D" w:rsidP="004B2878">
            <w:pPr>
              <w:jc w:val="center"/>
              <w:rPr>
                <w:sz w:val="22"/>
                <w:szCs w:val="22"/>
              </w:rPr>
            </w:pPr>
            <w:r>
              <w:rPr>
                <w:sz w:val="22"/>
                <w:szCs w:val="22"/>
                <w:lang w:bidi="nn-NO"/>
              </w:rPr>
              <w:t>6</w:t>
            </w:r>
          </w:p>
        </w:tc>
      </w:tr>
      <w:tr w:rsidR="004B2878" w:rsidRPr="002F1821" w14:paraId="652AD1CC" w14:textId="77777777" w:rsidTr="00436F1F">
        <w:trPr>
          <w:trHeight w:val="283"/>
        </w:trPr>
        <w:tc>
          <w:tcPr>
            <w:tcW w:w="675" w:type="dxa"/>
            <w:tcBorders>
              <w:top w:val="single" w:sz="4" w:space="0" w:color="auto"/>
              <w:left w:val="nil"/>
              <w:bottom w:val="nil"/>
              <w:right w:val="nil"/>
            </w:tcBorders>
            <w:shd w:val="clear" w:color="auto" w:fill="auto"/>
          </w:tcPr>
          <w:p w14:paraId="4AC6874A" w14:textId="77777777" w:rsidR="004B2878" w:rsidRPr="00D6743B" w:rsidRDefault="004B2878" w:rsidP="004B2878">
            <w:pPr>
              <w:jc w:val="center"/>
              <w:rPr>
                <w:sz w:val="22"/>
                <w:szCs w:val="22"/>
              </w:rPr>
            </w:pPr>
          </w:p>
        </w:tc>
        <w:tc>
          <w:tcPr>
            <w:tcW w:w="1843" w:type="dxa"/>
            <w:tcBorders>
              <w:top w:val="single" w:sz="4" w:space="0" w:color="auto"/>
              <w:left w:val="nil"/>
              <w:bottom w:val="nil"/>
              <w:right w:val="single" w:sz="4" w:space="0" w:color="auto"/>
            </w:tcBorders>
            <w:shd w:val="clear" w:color="auto" w:fill="auto"/>
          </w:tcPr>
          <w:p w14:paraId="3D4110ED" w14:textId="77777777" w:rsidR="004B2878" w:rsidRPr="00D6743B" w:rsidRDefault="004B2878" w:rsidP="004B287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4333549" w14:textId="77777777" w:rsidR="004B2878" w:rsidRPr="0015461B" w:rsidRDefault="004B2878" w:rsidP="004B2878">
            <w:pPr>
              <w:jc w:val="center"/>
              <w:rPr>
                <w:b/>
                <w:sz w:val="22"/>
                <w:szCs w:val="22"/>
              </w:rPr>
            </w:pPr>
            <w:r w:rsidRPr="0015461B">
              <w:rPr>
                <w:b/>
                <w:sz w:val="22"/>
                <w:szCs w:val="22"/>
                <w:lang w:bidi="nn-NO"/>
              </w:rPr>
              <w:t>Låg</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3B8FD530" w14:textId="77777777" w:rsidR="004B2878" w:rsidRPr="0015461B" w:rsidRDefault="004B2878" w:rsidP="004B2878">
            <w:pPr>
              <w:jc w:val="center"/>
              <w:rPr>
                <w:b/>
                <w:sz w:val="22"/>
                <w:szCs w:val="22"/>
              </w:rPr>
            </w:pPr>
            <w:r w:rsidRPr="0015461B">
              <w:rPr>
                <w:b/>
                <w:sz w:val="22"/>
                <w:szCs w:val="22"/>
                <w:lang w:bidi="nn-NO"/>
              </w:rPr>
              <w:t>Moderat</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14:paraId="17F25799" w14:textId="77777777" w:rsidR="004B2878" w:rsidRPr="0015461B" w:rsidRDefault="004B2878" w:rsidP="004B2878">
            <w:pPr>
              <w:jc w:val="center"/>
              <w:rPr>
                <w:b/>
                <w:sz w:val="22"/>
                <w:szCs w:val="22"/>
              </w:rPr>
            </w:pPr>
            <w:r w:rsidRPr="0015461B">
              <w:rPr>
                <w:b/>
                <w:sz w:val="22"/>
                <w:szCs w:val="22"/>
                <w:lang w:bidi="nn-NO"/>
              </w:rPr>
              <w:t>Høg</w:t>
            </w:r>
          </w:p>
        </w:tc>
        <w:tc>
          <w:tcPr>
            <w:tcW w:w="1275" w:type="dxa"/>
            <w:tcBorders>
              <w:top w:val="single" w:sz="4" w:space="0" w:color="auto"/>
              <w:left w:val="single" w:sz="4" w:space="0" w:color="auto"/>
              <w:bottom w:val="single" w:sz="4" w:space="0" w:color="auto"/>
              <w:right w:val="single" w:sz="4" w:space="0" w:color="auto"/>
            </w:tcBorders>
            <w:shd w:val="clear" w:color="auto" w:fill="E7E6E6"/>
            <w:vAlign w:val="center"/>
          </w:tcPr>
          <w:p w14:paraId="47175529" w14:textId="77777777" w:rsidR="004B2878" w:rsidRPr="0015461B" w:rsidRDefault="004B2878" w:rsidP="004B2878">
            <w:pPr>
              <w:jc w:val="center"/>
              <w:rPr>
                <w:b/>
                <w:sz w:val="22"/>
                <w:szCs w:val="22"/>
              </w:rPr>
            </w:pPr>
            <w:r w:rsidRPr="0015461B">
              <w:rPr>
                <w:b/>
                <w:sz w:val="22"/>
                <w:szCs w:val="22"/>
                <w:lang w:bidi="nn-NO"/>
              </w:rPr>
              <w:t>Svært høg</w:t>
            </w:r>
          </w:p>
        </w:tc>
      </w:tr>
      <w:tr w:rsidR="004B2878" w:rsidRPr="002F1821" w14:paraId="2150348F" w14:textId="77777777" w:rsidTr="00436F1F">
        <w:trPr>
          <w:trHeight w:val="283"/>
        </w:trPr>
        <w:tc>
          <w:tcPr>
            <w:tcW w:w="2518" w:type="dxa"/>
            <w:gridSpan w:val="2"/>
            <w:tcBorders>
              <w:top w:val="nil"/>
              <w:left w:val="nil"/>
              <w:bottom w:val="nil"/>
              <w:right w:val="single" w:sz="4" w:space="0" w:color="auto"/>
            </w:tcBorders>
            <w:shd w:val="clear" w:color="auto" w:fill="auto"/>
          </w:tcPr>
          <w:p w14:paraId="36BF5906" w14:textId="77777777" w:rsidR="004B2878" w:rsidRPr="00D6743B" w:rsidRDefault="004B2878" w:rsidP="004B2878">
            <w:pPr>
              <w:jc w:val="center"/>
              <w:rPr>
                <w:sz w:val="22"/>
                <w:szCs w:val="22"/>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65C713D1" w14:textId="77777777" w:rsidR="004B2878" w:rsidRPr="0015461B" w:rsidRDefault="00D12B1B" w:rsidP="004B2878">
            <w:pPr>
              <w:jc w:val="center"/>
              <w:rPr>
                <w:b/>
                <w:sz w:val="22"/>
                <w:szCs w:val="22"/>
              </w:rPr>
            </w:pPr>
            <w:r>
              <w:rPr>
                <w:b/>
                <w:sz w:val="22"/>
                <w:szCs w:val="22"/>
                <w:lang w:bidi="nn-NO"/>
              </w:rPr>
              <w:t>Konsekvensnivå</w:t>
            </w:r>
          </w:p>
        </w:tc>
      </w:tr>
    </w:tbl>
    <w:p w14:paraId="1CFD208D" w14:textId="77777777" w:rsidR="007B7296" w:rsidRDefault="007B7296" w:rsidP="007B7296"/>
    <w:p w14:paraId="35D68974" w14:textId="77777777" w:rsidR="007B7296" w:rsidRDefault="007B7296" w:rsidP="007B7296"/>
    <w:p w14:paraId="026404E1" w14:textId="77777777" w:rsidR="007B7296" w:rsidRDefault="007B7296" w:rsidP="00D82217">
      <w:pPr>
        <w:spacing w:after="160"/>
      </w:pPr>
    </w:p>
    <w:p w14:paraId="521BE821" w14:textId="77777777" w:rsidR="007B7296" w:rsidRDefault="007B7296" w:rsidP="00D82217">
      <w:pPr>
        <w:spacing w:after="160"/>
      </w:pPr>
    </w:p>
    <w:p w14:paraId="13A52345" w14:textId="77777777" w:rsidR="009105F7" w:rsidRDefault="009105F7" w:rsidP="00D82217">
      <w:pPr>
        <w:spacing w:after="160"/>
        <w:rPr>
          <w:b/>
        </w:rPr>
      </w:pPr>
    </w:p>
    <w:p w14:paraId="4146BA0D" w14:textId="77777777" w:rsidR="009105F7" w:rsidRDefault="009105F7" w:rsidP="00D82217">
      <w:pPr>
        <w:spacing w:after="160"/>
        <w:rPr>
          <w:b/>
        </w:rPr>
      </w:pPr>
    </w:p>
    <w:p w14:paraId="515C501A" w14:textId="77777777" w:rsidR="009105F7" w:rsidRDefault="009105F7" w:rsidP="00D82217">
      <w:pPr>
        <w:spacing w:after="160"/>
        <w:rPr>
          <w:b/>
        </w:rPr>
      </w:pPr>
    </w:p>
    <w:p w14:paraId="5B3956B2" w14:textId="77777777" w:rsidR="003113DF" w:rsidRDefault="003113DF" w:rsidP="00717D7F">
      <w:pPr>
        <w:rPr>
          <w:highlight w:val="yellow"/>
          <w:lang w:bidi="nn-NO"/>
        </w:rPr>
      </w:pPr>
    </w:p>
    <w:p w14:paraId="5D79C4F1" w14:textId="78F7F32F" w:rsidR="00717D7F" w:rsidRPr="00894977" w:rsidRDefault="00894977" w:rsidP="00717D7F">
      <w:r w:rsidRPr="00894977">
        <w:rPr>
          <w:highlight w:val="yellow"/>
          <w:lang w:bidi="nn-NO"/>
        </w:rPr>
        <w:t>(Ein bør i arbeidet med retningslinja systematisk vurdere innhaldet i matrisa over og tabellen under, slik at ein forstår kva dei medfører, og kan vurdere om dette er føremålstenleg for verksemda. Begge kan justerast ut frå behova til verksemda.)</w:t>
      </w:r>
    </w:p>
    <w:p w14:paraId="2385470A" w14:textId="77777777" w:rsidR="00894977" w:rsidRDefault="00894977" w:rsidP="00717D7F">
      <w:pPr>
        <w:rPr>
          <w:b/>
        </w:rPr>
      </w:pPr>
    </w:p>
    <w:p w14:paraId="4B031D47" w14:textId="77777777" w:rsidR="009105F7" w:rsidRDefault="00783588" w:rsidP="00215943">
      <w:pPr>
        <w:keepNext/>
        <w:spacing w:after="160"/>
        <w:rPr>
          <w:b/>
        </w:rPr>
      </w:pPr>
      <w:r w:rsidRPr="00783588">
        <w:rPr>
          <w:b/>
          <w:lang w:bidi="nn-NO"/>
        </w:rPr>
        <w:t xml:space="preserve">Planlegg risikovurderingar i høve til tabellen under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6"/>
      </w:tblGrid>
      <w:tr w:rsidR="00A33FBE" w14:paraId="40D86680" w14:textId="77777777" w:rsidTr="005B1F45">
        <w:trPr>
          <w:cantSplit/>
          <w:tblHeader/>
        </w:trPr>
        <w:tc>
          <w:tcPr>
            <w:tcW w:w="1384" w:type="dxa"/>
            <w:shd w:val="clear" w:color="auto" w:fill="auto"/>
          </w:tcPr>
          <w:p w14:paraId="5187140B" w14:textId="77777777" w:rsidR="00A33FBE" w:rsidRPr="005B1F45" w:rsidRDefault="00A33FBE" w:rsidP="005B1F45">
            <w:pPr>
              <w:jc w:val="center"/>
              <w:rPr>
                <w:b/>
              </w:rPr>
            </w:pPr>
            <w:r w:rsidRPr="005B1F45">
              <w:rPr>
                <w:b/>
                <w:lang w:bidi="nn-NO"/>
              </w:rPr>
              <w:t>Prioritets-gruppe</w:t>
            </w:r>
          </w:p>
        </w:tc>
        <w:tc>
          <w:tcPr>
            <w:tcW w:w="7826" w:type="dxa"/>
            <w:shd w:val="clear" w:color="auto" w:fill="auto"/>
            <w:vAlign w:val="center"/>
          </w:tcPr>
          <w:p w14:paraId="4618CF60" w14:textId="77777777" w:rsidR="00A33FBE" w:rsidRPr="005B1F45" w:rsidRDefault="00A33FBE" w:rsidP="00A33FBE">
            <w:pPr>
              <w:rPr>
                <w:b/>
              </w:rPr>
            </w:pPr>
            <w:r w:rsidRPr="005B1F45">
              <w:rPr>
                <w:b/>
                <w:lang w:bidi="nn-NO"/>
              </w:rPr>
              <w:t>Vedtak</w:t>
            </w:r>
          </w:p>
        </w:tc>
      </w:tr>
      <w:tr w:rsidR="00220D35" w:rsidRPr="00A33FBE" w14:paraId="43D8D93C" w14:textId="77777777" w:rsidTr="00DF0647">
        <w:tc>
          <w:tcPr>
            <w:tcW w:w="1384" w:type="dxa"/>
            <w:shd w:val="clear" w:color="auto" w:fill="auto"/>
            <w:vAlign w:val="center"/>
          </w:tcPr>
          <w:p w14:paraId="48E1010F" w14:textId="77777777" w:rsidR="00220D35" w:rsidRPr="00A33FBE" w:rsidRDefault="00220D35" w:rsidP="00DF0647">
            <w:pPr>
              <w:jc w:val="center"/>
            </w:pPr>
            <w:r>
              <w:rPr>
                <w:lang w:bidi="nn-NO"/>
              </w:rPr>
              <w:t>0</w:t>
            </w:r>
          </w:p>
        </w:tc>
        <w:tc>
          <w:tcPr>
            <w:tcW w:w="7826" w:type="dxa"/>
            <w:shd w:val="clear" w:color="auto" w:fill="auto"/>
          </w:tcPr>
          <w:p w14:paraId="7AF27E01" w14:textId="77777777" w:rsidR="00220D35" w:rsidRPr="00A33FBE" w:rsidRDefault="00220D35" w:rsidP="00985833">
            <w:pPr>
              <w:numPr>
                <w:ilvl w:val="0"/>
                <w:numId w:val="2"/>
              </w:numPr>
            </w:pPr>
            <w:r>
              <w:rPr>
                <w:lang w:bidi="nn-NO"/>
              </w:rPr>
              <w:t xml:space="preserve">Det er </w:t>
            </w:r>
            <w:r>
              <w:rPr>
                <w:b/>
                <w:lang w:bidi="nn-NO"/>
              </w:rPr>
              <w:t>ikkje behov</w:t>
            </w:r>
            <w:r>
              <w:rPr>
                <w:lang w:bidi="nn-NO"/>
              </w:rPr>
              <w:t xml:space="preserve"> for å gjennomføre nye eller oppdaterte risikovurderingar.</w:t>
            </w:r>
          </w:p>
        </w:tc>
      </w:tr>
      <w:tr w:rsidR="00A33FBE" w:rsidRPr="00A33FBE" w14:paraId="2B4FF75B" w14:textId="77777777" w:rsidTr="00DF0647">
        <w:tc>
          <w:tcPr>
            <w:tcW w:w="1384" w:type="dxa"/>
            <w:shd w:val="clear" w:color="auto" w:fill="auto"/>
            <w:vAlign w:val="center"/>
          </w:tcPr>
          <w:p w14:paraId="7112A9C9" w14:textId="77777777" w:rsidR="00A33FBE" w:rsidRPr="00A33FBE" w:rsidRDefault="00A33FBE" w:rsidP="00DF0647">
            <w:pPr>
              <w:jc w:val="center"/>
            </w:pPr>
            <w:r w:rsidRPr="00A33FBE">
              <w:rPr>
                <w:lang w:bidi="nn-NO"/>
              </w:rPr>
              <w:t>1 - 2</w:t>
            </w:r>
          </w:p>
        </w:tc>
        <w:tc>
          <w:tcPr>
            <w:tcW w:w="7826" w:type="dxa"/>
            <w:shd w:val="clear" w:color="auto" w:fill="auto"/>
          </w:tcPr>
          <w:p w14:paraId="74087FCC" w14:textId="77777777" w:rsidR="00A33FBE" w:rsidRDefault="00B53325" w:rsidP="00985833">
            <w:pPr>
              <w:numPr>
                <w:ilvl w:val="0"/>
                <w:numId w:val="2"/>
              </w:numPr>
              <w:ind w:hanging="357"/>
            </w:pPr>
            <w:r>
              <w:rPr>
                <w:lang w:bidi="nn-NO"/>
              </w:rPr>
              <w:t xml:space="preserve">Ny/oppdatert risikovurdering skal gjennomførast </w:t>
            </w:r>
            <w:r>
              <w:rPr>
                <w:b/>
                <w:lang w:bidi="nn-NO"/>
              </w:rPr>
              <w:t>utan ugrunna opphald</w:t>
            </w:r>
          </w:p>
          <w:p w14:paraId="051BB803" w14:textId="77777777" w:rsidR="00F42E7A" w:rsidRDefault="00D07EBD" w:rsidP="00985833">
            <w:pPr>
              <w:numPr>
                <w:ilvl w:val="0"/>
                <w:numId w:val="7"/>
              </w:numPr>
            </w:pPr>
            <w:r>
              <w:rPr>
                <w:lang w:bidi="nn-NO"/>
              </w:rPr>
              <w:t>Prioritering skal skje etter prioritetsgruppe</w:t>
            </w:r>
          </w:p>
          <w:p w14:paraId="136F0B28" w14:textId="77777777" w:rsidR="00A33FBE" w:rsidRDefault="00A33FBE" w:rsidP="00985833">
            <w:pPr>
              <w:numPr>
                <w:ilvl w:val="0"/>
                <w:numId w:val="2"/>
              </w:numPr>
              <w:ind w:hanging="357"/>
            </w:pPr>
            <w:r>
              <w:rPr>
                <w:lang w:bidi="nn-NO"/>
              </w:rPr>
              <w:t>Nye arbeidsoppgåver skal ikkje startast og nye system skal ikkje takast i bruk før ny eller oppdatert risikovurdering er gjennomført og følgt opp</w:t>
            </w:r>
          </w:p>
          <w:p w14:paraId="260BBC9F" w14:textId="77777777" w:rsidR="00A33FBE" w:rsidRPr="00A33FBE" w:rsidRDefault="00A33FBE" w:rsidP="00985833">
            <w:pPr>
              <w:numPr>
                <w:ilvl w:val="0"/>
                <w:numId w:val="2"/>
              </w:numPr>
            </w:pPr>
            <w:r>
              <w:rPr>
                <w:lang w:bidi="nn-NO"/>
              </w:rPr>
              <w:t>Det skal straks vurderast om det er behov for eventuelle mellombelse ekstratiltak eller stopp i gjennomføring av oppgåver og bruk av IKT-system og anna utstyr.</w:t>
            </w:r>
          </w:p>
        </w:tc>
      </w:tr>
      <w:tr w:rsidR="00A33FBE" w:rsidRPr="00A33FBE" w14:paraId="5A0303A6" w14:textId="77777777" w:rsidTr="00DF0647">
        <w:tc>
          <w:tcPr>
            <w:tcW w:w="1384" w:type="dxa"/>
            <w:shd w:val="clear" w:color="auto" w:fill="auto"/>
            <w:vAlign w:val="center"/>
          </w:tcPr>
          <w:p w14:paraId="35D11E7F" w14:textId="77777777" w:rsidR="00A33FBE" w:rsidRPr="00A33FBE" w:rsidRDefault="00B6641B" w:rsidP="00DF0647">
            <w:pPr>
              <w:jc w:val="center"/>
            </w:pPr>
            <w:r>
              <w:rPr>
                <w:lang w:bidi="nn-NO"/>
              </w:rPr>
              <w:t>3 - 5</w:t>
            </w:r>
          </w:p>
        </w:tc>
        <w:tc>
          <w:tcPr>
            <w:tcW w:w="7826" w:type="dxa"/>
            <w:shd w:val="clear" w:color="auto" w:fill="auto"/>
          </w:tcPr>
          <w:p w14:paraId="328BD012" w14:textId="77777777" w:rsidR="00A33FBE" w:rsidRDefault="008E2CDE" w:rsidP="00985833">
            <w:pPr>
              <w:numPr>
                <w:ilvl w:val="0"/>
                <w:numId w:val="7"/>
              </w:numPr>
            </w:pPr>
            <w:r>
              <w:rPr>
                <w:lang w:bidi="nn-NO"/>
              </w:rPr>
              <w:t xml:space="preserve">Ny/oppdatert risikovurdering skal gjennomførast </w:t>
            </w:r>
            <w:r>
              <w:rPr>
                <w:b/>
                <w:lang w:bidi="nn-NO"/>
              </w:rPr>
              <w:t>innan rimeleg tid</w:t>
            </w:r>
          </w:p>
          <w:p w14:paraId="38BA0587" w14:textId="77777777" w:rsidR="008E2CDE" w:rsidRDefault="008E2CDE" w:rsidP="00985833">
            <w:pPr>
              <w:numPr>
                <w:ilvl w:val="0"/>
                <w:numId w:val="7"/>
              </w:numPr>
            </w:pPr>
            <w:r>
              <w:rPr>
                <w:lang w:bidi="nn-NO"/>
              </w:rPr>
              <w:t>Prioritering skal skje etter prioritetsgruppe og ut frå kunnskapsstyrken</w:t>
            </w:r>
            <w:bookmarkStart w:id="15" w:name="_Ref465001178"/>
            <w:r w:rsidR="00A075FF">
              <w:rPr>
                <w:rStyle w:val="Fotnotereferanse"/>
                <w:lang w:bidi="nn-NO"/>
              </w:rPr>
              <w:footnoteReference w:id="5"/>
            </w:r>
            <w:bookmarkEnd w:id="15"/>
            <w:r>
              <w:rPr>
                <w:lang w:bidi="nn-NO"/>
              </w:rPr>
              <w:t xml:space="preserve"> på tidlegare vurderingar</w:t>
            </w:r>
          </w:p>
          <w:p w14:paraId="76634961" w14:textId="77777777" w:rsidR="008E2CDE" w:rsidRPr="00A33FBE" w:rsidRDefault="008E2CDE" w:rsidP="00985833">
            <w:pPr>
              <w:numPr>
                <w:ilvl w:val="0"/>
                <w:numId w:val="7"/>
              </w:numPr>
            </w:pPr>
            <w:r w:rsidRPr="008E2CDE">
              <w:rPr>
                <w:lang w:bidi="nn-NO"/>
              </w:rPr>
              <w:t>Nye arbeidsoppgåver kan startast og nye system kan takast i bruk om dei blir etablerte innan verksemda si fellessikring og oppgåva som skal løysast er svært viktig for å nå verksemda sitt overordna mål</w:t>
            </w:r>
          </w:p>
        </w:tc>
      </w:tr>
      <w:tr w:rsidR="00D802FE" w:rsidRPr="00A33FBE" w14:paraId="3FB48476" w14:textId="77777777" w:rsidTr="00DF0647">
        <w:tc>
          <w:tcPr>
            <w:tcW w:w="1384" w:type="dxa"/>
            <w:shd w:val="clear" w:color="auto" w:fill="auto"/>
            <w:vAlign w:val="center"/>
          </w:tcPr>
          <w:p w14:paraId="40AFE96C" w14:textId="77777777" w:rsidR="00D802FE" w:rsidRDefault="00BB7F0D" w:rsidP="00DF0647">
            <w:pPr>
              <w:jc w:val="center"/>
            </w:pPr>
            <w:r>
              <w:rPr>
                <w:lang w:bidi="nn-NO"/>
              </w:rPr>
              <w:t>6</w:t>
            </w:r>
          </w:p>
        </w:tc>
        <w:tc>
          <w:tcPr>
            <w:tcW w:w="7826" w:type="dxa"/>
            <w:shd w:val="clear" w:color="auto" w:fill="auto"/>
          </w:tcPr>
          <w:p w14:paraId="379AA036" w14:textId="77777777" w:rsidR="00D802FE" w:rsidRDefault="00D802FE" w:rsidP="00985833">
            <w:pPr>
              <w:numPr>
                <w:ilvl w:val="0"/>
                <w:numId w:val="7"/>
              </w:numPr>
            </w:pPr>
            <w:r>
              <w:rPr>
                <w:lang w:bidi="nn-NO"/>
              </w:rPr>
              <w:t xml:space="preserve">Ny/oppdatert risikovurdering skal </w:t>
            </w:r>
            <w:r>
              <w:rPr>
                <w:b/>
                <w:lang w:bidi="nn-NO"/>
              </w:rPr>
              <w:t>gjennomførast med intervall på maks 3 år, om ikkje ny kunnskap tilseier gjennomføring tidlegare</w:t>
            </w:r>
          </w:p>
          <w:p w14:paraId="42011880" w14:textId="77777777" w:rsidR="00F42E7A" w:rsidRDefault="00F42E7A" w:rsidP="00985833">
            <w:pPr>
              <w:numPr>
                <w:ilvl w:val="0"/>
                <w:numId w:val="7"/>
              </w:numPr>
            </w:pPr>
            <w:r>
              <w:rPr>
                <w:lang w:bidi="nn-NO"/>
              </w:rPr>
              <w:t>Omfanget skal tilpassast kunnskapsstyrken</w:t>
            </w:r>
            <w:r w:rsidR="00A075FF" w:rsidRPr="00A075FF">
              <w:rPr>
                <w:rStyle w:val="Fotnotereferanse"/>
                <w:lang w:bidi="nn-NO"/>
              </w:rPr>
              <w:fldChar w:fldCharType="begin"/>
            </w:r>
            <w:r w:rsidR="00A075FF" w:rsidRPr="00A075FF">
              <w:rPr>
                <w:rStyle w:val="Fotnotereferanse"/>
                <w:lang w:bidi="nn-NO"/>
              </w:rPr>
              <w:instrText xml:space="preserve"> NOTEREF _Ref465001178 \h </w:instrText>
            </w:r>
            <w:r w:rsidR="00A075FF">
              <w:rPr>
                <w:rStyle w:val="Fotnotereferanse"/>
                <w:lang w:bidi="nn-NO"/>
              </w:rPr>
              <w:instrText xml:space="preserve"> \* MERGEFORMAT </w:instrText>
            </w:r>
            <w:r w:rsidR="00A075FF" w:rsidRPr="00A075FF">
              <w:rPr>
                <w:rStyle w:val="Fotnotereferanse"/>
                <w:lang w:bidi="nn-NO"/>
              </w:rPr>
            </w:r>
            <w:r w:rsidR="00A075FF" w:rsidRPr="00A075FF">
              <w:rPr>
                <w:rStyle w:val="Fotnotereferanse"/>
                <w:lang w:bidi="nn-NO"/>
              </w:rPr>
              <w:fldChar w:fldCharType="separate"/>
            </w:r>
            <w:r w:rsidR="00CC0D54">
              <w:rPr>
                <w:rStyle w:val="Fotnotereferanse"/>
                <w:lang w:bidi="nn-NO"/>
              </w:rPr>
              <w:t>4</w:t>
            </w:r>
            <w:r w:rsidR="00A075FF" w:rsidRPr="00A075FF">
              <w:rPr>
                <w:rStyle w:val="Fotnotereferanse"/>
                <w:lang w:bidi="nn-NO"/>
              </w:rPr>
              <w:fldChar w:fldCharType="end"/>
            </w:r>
            <w:r>
              <w:rPr>
                <w:lang w:bidi="nn-NO"/>
              </w:rPr>
              <w:t xml:space="preserve"> på tidlegare vurderingar</w:t>
            </w:r>
          </w:p>
          <w:p w14:paraId="3F15BB05" w14:textId="77777777" w:rsidR="00D802FE" w:rsidRDefault="00D802FE" w:rsidP="00985833">
            <w:pPr>
              <w:numPr>
                <w:ilvl w:val="0"/>
                <w:numId w:val="7"/>
              </w:numPr>
            </w:pPr>
            <w:r w:rsidRPr="008E2CDE">
              <w:rPr>
                <w:lang w:bidi="nn-NO"/>
              </w:rPr>
              <w:t>Nye arbeidsoppgåver kan startast og nye system kan takast i bruk om dei blir etablerte innan verksemda si fellessikring og oppgåva som skal løysast er svært viktig for å nå verksemda sitt overordna mål</w:t>
            </w:r>
          </w:p>
        </w:tc>
      </w:tr>
    </w:tbl>
    <w:p w14:paraId="0B4A6DF3" w14:textId="77777777" w:rsidR="00B43010" w:rsidRDefault="00B43010" w:rsidP="00D82217">
      <w:pPr>
        <w:spacing w:after="160"/>
        <w:rPr>
          <w:b/>
        </w:rPr>
      </w:pPr>
    </w:p>
    <w:p w14:paraId="4168B6E7" w14:textId="77777777" w:rsidR="00717D7F" w:rsidRDefault="00717D7F" w:rsidP="00717D7F">
      <w:pPr>
        <w:keepNext/>
        <w:rPr>
          <w:b/>
        </w:rPr>
      </w:pPr>
      <w:r>
        <w:rPr>
          <w:b/>
          <w:lang w:bidi="nn-NO"/>
        </w:rPr>
        <w:t>Generelle krav:</w:t>
      </w:r>
    </w:p>
    <w:p w14:paraId="693D9B86" w14:textId="77777777" w:rsidR="00345AAF" w:rsidRDefault="002E01A3" w:rsidP="00985833">
      <w:pPr>
        <w:numPr>
          <w:ilvl w:val="0"/>
          <w:numId w:val="8"/>
        </w:numPr>
        <w:ind w:left="714" w:hanging="357"/>
      </w:pPr>
      <w:r>
        <w:rPr>
          <w:lang w:bidi="nn-NO"/>
        </w:rPr>
        <w:t>Ein skal alltid avslutningsvis for kvart område vurdere om ein har spesielt høge risikoar (jf. spørsmål 9) og stor usikkerheit rundt desse. Dette kan krevje ei skjønsmessig høgare prioritering av området enn det som følgjer av tabellane over</w:t>
      </w:r>
      <w:r w:rsidR="001B28AE">
        <w:rPr>
          <w:rStyle w:val="Fotnotereferanse"/>
          <w:lang w:bidi="nn-NO"/>
        </w:rPr>
        <w:footnoteReference w:id="6"/>
      </w:r>
      <w:r>
        <w:rPr>
          <w:lang w:bidi="nn-NO"/>
        </w:rPr>
        <w:t>. Ei anna prioritering enn i tabellane skal kort grunngjevast i dei skjemaa ein brukar.</w:t>
      </w:r>
    </w:p>
    <w:p w14:paraId="1FAB35C7" w14:textId="77777777" w:rsidR="00717D7F" w:rsidRPr="00717D7F" w:rsidRDefault="00717D7F" w:rsidP="00985833">
      <w:pPr>
        <w:numPr>
          <w:ilvl w:val="0"/>
          <w:numId w:val="8"/>
        </w:numPr>
        <w:spacing w:after="160"/>
      </w:pPr>
      <w:r>
        <w:rPr>
          <w:lang w:bidi="nn-NO"/>
        </w:rPr>
        <w:t>Ressursinnsats og fokus i naudsynte risikovurderingar skal tilpassast eigenarten til området, potensielt konsekvensnivå, antatt risikostorleik og dei foranalysane som er gjennomførte.</w:t>
      </w:r>
    </w:p>
    <w:p w14:paraId="063AD828" w14:textId="77777777" w:rsidR="00717D7F" w:rsidRDefault="00717D7F" w:rsidP="00735C01">
      <w:pPr>
        <w:keepNext/>
        <w:rPr>
          <w:b/>
        </w:rPr>
      </w:pPr>
    </w:p>
    <w:p w14:paraId="1A83273D" w14:textId="77777777" w:rsidR="000D7F14" w:rsidRDefault="000D7F14" w:rsidP="000D7F14">
      <w:pPr>
        <w:spacing w:after="160"/>
      </w:pPr>
    </w:p>
    <w:sectPr w:rsidR="000D7F14" w:rsidSect="00F24610">
      <w:headerReference w:type="default" r:id="rId12"/>
      <w:footerReference w:type="default" r:id="rId13"/>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7BE6" w14:textId="77777777" w:rsidR="00096A79" w:rsidRDefault="00096A79">
      <w:r>
        <w:separator/>
      </w:r>
    </w:p>
  </w:endnote>
  <w:endnote w:type="continuationSeparator" w:id="0">
    <w:p w14:paraId="3F39B044" w14:textId="77777777" w:rsidR="00096A79" w:rsidRDefault="0009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Old Style">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00"/>
      <w:gridCol w:w="2520"/>
      <w:gridCol w:w="1904"/>
    </w:tblGrid>
    <w:tr w:rsidR="00FB0A50" w14:paraId="57AC96DB" w14:textId="77777777">
      <w:tc>
        <w:tcPr>
          <w:tcW w:w="2988" w:type="dxa"/>
        </w:tcPr>
        <w:p w14:paraId="5C52BD0B" w14:textId="77777777" w:rsidR="00FB0A50" w:rsidRDefault="00FB0A50">
          <w:pPr>
            <w:rPr>
              <w:b/>
              <w:sz w:val="20"/>
            </w:rPr>
          </w:pPr>
          <w:r>
            <w:rPr>
              <w:b/>
              <w:sz w:val="20"/>
              <w:lang w:bidi="nn-NO"/>
            </w:rPr>
            <w:t>Type: Retningslinje</w:t>
          </w:r>
        </w:p>
      </w:tc>
      <w:tc>
        <w:tcPr>
          <w:tcW w:w="1800" w:type="dxa"/>
        </w:tcPr>
        <w:p w14:paraId="6D2B2E74" w14:textId="77777777" w:rsidR="00FB0A50" w:rsidRDefault="009B0AC6" w:rsidP="00F24610">
          <w:pPr>
            <w:rPr>
              <w:b/>
              <w:sz w:val="20"/>
            </w:rPr>
          </w:pPr>
          <w:r>
            <w:rPr>
              <w:b/>
              <w:sz w:val="20"/>
              <w:lang w:bidi="nn-NO"/>
            </w:rPr>
            <w:t xml:space="preserve">Versjon 1.1 </w:t>
          </w:r>
        </w:p>
      </w:tc>
      <w:tc>
        <w:tcPr>
          <w:tcW w:w="2520" w:type="dxa"/>
        </w:tcPr>
        <w:p w14:paraId="2CA201B7" w14:textId="77777777" w:rsidR="00FB0A50" w:rsidRDefault="00FB0A50">
          <w:pPr>
            <w:rPr>
              <w:b/>
              <w:sz w:val="20"/>
            </w:rPr>
          </w:pPr>
          <w:r>
            <w:rPr>
              <w:b/>
              <w:sz w:val="20"/>
              <w:lang w:bidi="nn-NO"/>
            </w:rPr>
            <w:t>Arkivsak: 2016/50</w:t>
          </w:r>
        </w:p>
      </w:tc>
      <w:tc>
        <w:tcPr>
          <w:tcW w:w="1904" w:type="dxa"/>
        </w:tcPr>
        <w:p w14:paraId="5E28A0C5" w14:textId="77777777" w:rsidR="00FB0A50" w:rsidRDefault="00FB0A50">
          <w:pPr>
            <w:pStyle w:val="Bunntekst"/>
            <w:rPr>
              <w:b/>
              <w:sz w:val="20"/>
            </w:rPr>
          </w:pPr>
          <w:r>
            <w:rPr>
              <w:b/>
              <w:sz w:val="20"/>
              <w:lang w:bidi="nn-NO"/>
            </w:rPr>
            <w:t xml:space="preserve">Side </w:t>
          </w:r>
          <w:r>
            <w:rPr>
              <w:rStyle w:val="Sidetall"/>
              <w:b/>
              <w:sz w:val="20"/>
              <w:lang w:bidi="nn-NO"/>
            </w:rPr>
            <w:fldChar w:fldCharType="begin"/>
          </w:r>
          <w:r>
            <w:rPr>
              <w:rStyle w:val="Sidetall"/>
              <w:b/>
              <w:sz w:val="20"/>
              <w:lang w:bidi="nn-NO"/>
            </w:rPr>
            <w:instrText xml:space="preserve"> PAGE </w:instrText>
          </w:r>
          <w:r>
            <w:rPr>
              <w:rStyle w:val="Sidetall"/>
              <w:b/>
              <w:sz w:val="20"/>
              <w:lang w:bidi="nn-NO"/>
            </w:rPr>
            <w:fldChar w:fldCharType="separate"/>
          </w:r>
          <w:r w:rsidR="0088654F">
            <w:rPr>
              <w:rStyle w:val="Sidetall"/>
              <w:b/>
              <w:noProof/>
              <w:sz w:val="20"/>
              <w:lang w:bidi="nn-NO"/>
            </w:rPr>
            <w:t>6</w:t>
          </w:r>
          <w:r>
            <w:rPr>
              <w:rStyle w:val="Sidetall"/>
              <w:b/>
              <w:sz w:val="20"/>
              <w:lang w:bidi="nn-NO"/>
            </w:rPr>
            <w:fldChar w:fldCharType="end"/>
          </w:r>
          <w:r>
            <w:rPr>
              <w:rStyle w:val="Sidetall"/>
              <w:b/>
              <w:sz w:val="20"/>
              <w:lang w:bidi="nn-NO"/>
            </w:rPr>
            <w:t xml:space="preserve"> av </w:t>
          </w:r>
          <w:r>
            <w:rPr>
              <w:rStyle w:val="Sidetall"/>
              <w:b/>
              <w:sz w:val="20"/>
              <w:lang w:bidi="nn-NO"/>
            </w:rPr>
            <w:fldChar w:fldCharType="begin"/>
          </w:r>
          <w:r>
            <w:rPr>
              <w:rStyle w:val="Sidetall"/>
              <w:b/>
              <w:sz w:val="20"/>
              <w:lang w:bidi="nn-NO"/>
            </w:rPr>
            <w:instrText xml:space="preserve"> NUMPAGES </w:instrText>
          </w:r>
          <w:r>
            <w:rPr>
              <w:rStyle w:val="Sidetall"/>
              <w:b/>
              <w:sz w:val="20"/>
              <w:lang w:bidi="nn-NO"/>
            </w:rPr>
            <w:fldChar w:fldCharType="separate"/>
          </w:r>
          <w:r w:rsidR="0088654F">
            <w:rPr>
              <w:rStyle w:val="Sidetall"/>
              <w:b/>
              <w:noProof/>
              <w:sz w:val="20"/>
              <w:lang w:bidi="nn-NO"/>
            </w:rPr>
            <w:t>6</w:t>
          </w:r>
          <w:r>
            <w:rPr>
              <w:rStyle w:val="Sidetall"/>
              <w:b/>
              <w:sz w:val="20"/>
              <w:lang w:bidi="nn-NO"/>
            </w:rPr>
            <w:fldChar w:fldCharType="end"/>
          </w:r>
        </w:p>
      </w:tc>
    </w:tr>
    <w:tr w:rsidR="00FB0A50" w14:paraId="17127D2D" w14:textId="77777777">
      <w:tc>
        <w:tcPr>
          <w:tcW w:w="4788" w:type="dxa"/>
          <w:gridSpan w:val="2"/>
        </w:tcPr>
        <w:p w14:paraId="132441FA" w14:textId="77777777" w:rsidR="00FB0A50" w:rsidRDefault="00FB0A50" w:rsidP="00C8240A">
          <w:pPr>
            <w:rPr>
              <w:b/>
              <w:sz w:val="20"/>
            </w:rPr>
          </w:pPr>
          <w:r>
            <w:rPr>
              <w:b/>
              <w:sz w:val="20"/>
              <w:lang w:bidi="nn-NO"/>
            </w:rPr>
            <w:t>Område: Internkontroll</w:t>
          </w:r>
        </w:p>
      </w:tc>
      <w:tc>
        <w:tcPr>
          <w:tcW w:w="2520" w:type="dxa"/>
        </w:tcPr>
        <w:p w14:paraId="7103D54E" w14:textId="77777777" w:rsidR="00FB0A50" w:rsidRDefault="00451D42" w:rsidP="00D82217">
          <w:pPr>
            <w:rPr>
              <w:b/>
              <w:sz w:val="20"/>
            </w:rPr>
          </w:pPr>
          <w:r>
            <w:rPr>
              <w:b/>
              <w:sz w:val="20"/>
              <w:lang w:bidi="nn-NO"/>
            </w:rPr>
            <w:t xml:space="preserve">Godkjent dato: </w:t>
          </w:r>
        </w:p>
      </w:tc>
      <w:tc>
        <w:tcPr>
          <w:tcW w:w="1904" w:type="dxa"/>
        </w:tcPr>
        <w:p w14:paraId="3B1B0819" w14:textId="77777777" w:rsidR="00FB0A50" w:rsidRDefault="00FB0A50" w:rsidP="009B0AC6">
          <w:pPr>
            <w:rPr>
              <w:b/>
              <w:sz w:val="20"/>
            </w:rPr>
          </w:pPr>
          <w:r>
            <w:rPr>
              <w:b/>
              <w:sz w:val="20"/>
              <w:lang w:bidi="nn-NO"/>
            </w:rPr>
            <w:t>Godkjent av: KRG</w:t>
          </w:r>
        </w:p>
      </w:tc>
    </w:tr>
  </w:tbl>
  <w:p w14:paraId="3B58F5E0" w14:textId="77777777" w:rsidR="00FB0A50" w:rsidRDefault="00FB0A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01A2" w14:textId="77777777" w:rsidR="00096A79" w:rsidRDefault="00096A79">
      <w:r>
        <w:separator/>
      </w:r>
    </w:p>
  </w:footnote>
  <w:footnote w:type="continuationSeparator" w:id="0">
    <w:p w14:paraId="586DB07E" w14:textId="77777777" w:rsidR="00096A79" w:rsidRDefault="00096A79">
      <w:r>
        <w:continuationSeparator/>
      </w:r>
    </w:p>
  </w:footnote>
  <w:footnote w:id="1">
    <w:p w14:paraId="506472EB" w14:textId="77777777" w:rsidR="007F17E5" w:rsidRDefault="007F17E5">
      <w:pPr>
        <w:pStyle w:val="Fotnotetekst"/>
      </w:pPr>
      <w:r>
        <w:rPr>
          <w:rStyle w:val="Fotnotereferanse"/>
          <w:lang w:bidi="nn-NO"/>
        </w:rPr>
        <w:footnoteRef/>
      </w:r>
      <w:r w:rsidRPr="007F17E5">
        <w:rPr>
          <w:lang w:bidi="nn-NO"/>
        </w:rPr>
        <w:t xml:space="preserve"> Alle IKT-system og anna teknisk utstyr som brukast av fleire organisatoriske einingar kallast fellessystem.</w:t>
      </w:r>
    </w:p>
  </w:footnote>
  <w:footnote w:id="2">
    <w:p w14:paraId="38998E3E" w14:textId="5A0E3570" w:rsidR="00566FD2" w:rsidRDefault="00566FD2" w:rsidP="00566FD2">
      <w:pPr>
        <w:pStyle w:val="Fotnotetekst"/>
      </w:pPr>
      <w:r>
        <w:rPr>
          <w:rStyle w:val="Fotnotereferanse"/>
          <w:lang w:bidi="nn-NO"/>
        </w:rPr>
        <w:footnoteRef/>
      </w:r>
      <w:r w:rsidRPr="00662500">
        <w:rPr>
          <w:lang w:bidi="nn-NO"/>
        </w:rPr>
        <w:t xml:space="preserve"> «Høgaste konsekvensnivå» er det høgaste nivået på konsekvensar på området som ein med ei viss grad av sannsyn må rekne med kan hende. Urealistiske utfall blir difor haldne utanfor. For støtte til å finne riktig nivå: Sjå vedlegg D i retningslinja </w:t>
      </w:r>
      <w:r w:rsidRPr="00662500">
        <w:rPr>
          <w:i/>
          <w:lang w:bidi="nn-NO"/>
        </w:rPr>
        <w:t>Forstå, vurdere og handtere risiko.</w:t>
      </w:r>
      <w:r w:rsidRPr="00662500">
        <w:rPr>
          <w:lang w:bidi="nn-NO"/>
        </w:rPr>
        <w:t xml:space="preserve"> </w:t>
      </w:r>
    </w:p>
  </w:footnote>
  <w:footnote w:id="3">
    <w:p w14:paraId="75F2B770" w14:textId="6E24FBCD" w:rsidR="00566FD2" w:rsidRDefault="00566FD2" w:rsidP="00566FD2">
      <w:pPr>
        <w:pStyle w:val="Fotnotetekst"/>
      </w:pPr>
      <w:r>
        <w:rPr>
          <w:rStyle w:val="Fotnotereferanse"/>
          <w:lang w:bidi="nn-NO"/>
        </w:rPr>
        <w:footnoteRef/>
      </w:r>
      <w:r w:rsidR="001B28AE">
        <w:rPr>
          <w:lang w:bidi="nn-NO"/>
        </w:rPr>
        <w:t xml:space="preserve"> For støtte til antatt høgaste risikonivå: Sjå eventuelt resultat frå tidlegare risikovurderingar, vedlegg C, D og E i retningslinja </w:t>
      </w:r>
      <w:r w:rsidR="001B28AE">
        <w:rPr>
          <w:i/>
          <w:lang w:bidi="nn-NO"/>
        </w:rPr>
        <w:t>Forstå, vurdere og handtere risiko</w:t>
      </w:r>
      <w:r w:rsidR="001B28AE">
        <w:rPr>
          <w:lang w:bidi="nn-NO"/>
        </w:rPr>
        <w:t>, samt støttespørsmåla i vedlegg A her.</w:t>
      </w:r>
    </w:p>
  </w:footnote>
  <w:footnote w:id="4">
    <w:p w14:paraId="7B74387F" w14:textId="3CAD65D2" w:rsidR="00566FD2" w:rsidRDefault="00566FD2" w:rsidP="00566FD2">
      <w:pPr>
        <w:pStyle w:val="Fotnotetekst"/>
      </w:pPr>
      <w:r>
        <w:rPr>
          <w:rStyle w:val="Fotnotereferanse"/>
          <w:lang w:bidi="nn-NO"/>
        </w:rPr>
        <w:footnoteRef/>
      </w:r>
      <w:r>
        <w:rPr>
          <w:lang w:bidi="nn-NO"/>
        </w:rPr>
        <w:t xml:space="preserve"> Kriterium for å akseptere risiko: Sjå vedlegg B i </w:t>
      </w:r>
      <w:r>
        <w:rPr>
          <w:i/>
          <w:lang w:bidi="nn-NO"/>
        </w:rPr>
        <w:t>Retningslinje: Forstå, vurdere og handtere risiko</w:t>
      </w:r>
      <w:r>
        <w:rPr>
          <w:lang w:bidi="nn-NO"/>
        </w:rPr>
        <w:t>.</w:t>
      </w:r>
    </w:p>
  </w:footnote>
  <w:footnote w:id="5">
    <w:p w14:paraId="34A8673C" w14:textId="7D4D4B5A" w:rsidR="00A075FF" w:rsidRDefault="00A075FF">
      <w:pPr>
        <w:pStyle w:val="Fotnotetekst"/>
      </w:pPr>
      <w:r>
        <w:rPr>
          <w:rStyle w:val="Fotnotereferanse"/>
          <w:lang w:bidi="nn-NO"/>
        </w:rPr>
        <w:footnoteRef/>
      </w:r>
      <w:r>
        <w:rPr>
          <w:lang w:bidi="nn-NO"/>
        </w:rPr>
        <w:t xml:space="preserve"> Kunnskapsstyrke er eit uttrykk </w:t>
      </w:r>
      <w:r w:rsidR="00A74FA6">
        <w:rPr>
          <w:lang w:bidi="nn-NO"/>
        </w:rPr>
        <w:t xml:space="preserve">for </w:t>
      </w:r>
      <w:r w:rsidR="00EE3DE1">
        <w:rPr>
          <w:lang w:bidi="nn-NO"/>
        </w:rPr>
        <w:t>kor</w:t>
      </w:r>
      <w:r w:rsidR="00A74FA6">
        <w:rPr>
          <w:lang w:bidi="nn-NO"/>
        </w:rPr>
        <w:t xml:space="preserve"> </w:t>
      </w:r>
      <w:r>
        <w:rPr>
          <w:lang w:bidi="nn-NO"/>
        </w:rPr>
        <w:t>god bakgrunnskunnskap og kvalitet vi har hatt i arbeidet med risikovurderingane og risikohandteringa vår, og dermed kor sikre vi er på estimata av konsekvens, sannsyn og risiko. Nivåa låg, moderat og høg skal brukast på kunnskapsstyrke.</w:t>
      </w:r>
    </w:p>
  </w:footnote>
  <w:footnote w:id="6">
    <w:p w14:paraId="3B8D2F74" w14:textId="77777777" w:rsidR="001B28AE" w:rsidRDefault="001B28AE" w:rsidP="001B28AE">
      <w:pPr>
        <w:pStyle w:val="Fotnotetekst"/>
      </w:pPr>
      <w:r>
        <w:rPr>
          <w:rStyle w:val="Fotnotereferanse"/>
          <w:lang w:bidi="nn-NO"/>
        </w:rPr>
        <w:footnoteRef/>
      </w:r>
      <w:r w:rsidRPr="001B28AE">
        <w:rPr>
          <w:lang w:bidi="nn-NO"/>
        </w:rPr>
        <w:t xml:space="preserve"> Tabellane baserer seg berre på høgaste konsekvensnivå i prioriteringa, ikkje høgaste risikonivå. Den forenklinga dette representerer gjev ei mogleg feilkjelde i prioriteringa som i stor grad skal rettast opp med dette generelle kravet.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555"/>
    </w:tblGrid>
    <w:tr w:rsidR="00FB0A50" w14:paraId="6414669D" w14:textId="77777777" w:rsidTr="0085508C">
      <w:tc>
        <w:tcPr>
          <w:tcW w:w="3936" w:type="dxa"/>
        </w:tcPr>
        <w:p w14:paraId="6E24B47D" w14:textId="77777777" w:rsidR="00FB0A50" w:rsidRPr="000605BC" w:rsidRDefault="00CC17B6" w:rsidP="000605BC">
          <w:pPr>
            <w:pStyle w:val="Topptekst"/>
            <w:jc w:val="both"/>
            <w:rPr>
              <w:noProof/>
              <w:lang w:eastAsia="nb-NO"/>
            </w:rPr>
          </w:pPr>
          <w:r>
            <w:rPr>
              <w:noProof/>
              <w:lang w:bidi="nn-NO"/>
            </w:rPr>
            <w:drawing>
              <wp:inline distT="0" distB="0" distL="0" distR="0" wp14:anchorId="389808E7" wp14:editId="3B9A63CE">
                <wp:extent cx="2362200" cy="5143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p>
      </w:tc>
      <w:tc>
        <w:tcPr>
          <w:tcW w:w="6555" w:type="dxa"/>
        </w:tcPr>
        <w:p w14:paraId="112D0624" w14:textId="7338049A" w:rsidR="00FB0A50" w:rsidRPr="00D82217" w:rsidRDefault="0085508C" w:rsidP="00C8240A">
          <w:pPr>
            <w:pStyle w:val="Topptekst"/>
            <w:rPr>
              <w:b/>
              <w:color w:val="2E74B5"/>
              <w:sz w:val="28"/>
            </w:rPr>
          </w:pPr>
          <w:r>
            <w:rPr>
              <w:b/>
              <w:color w:val="2E74B5"/>
              <w:sz w:val="28"/>
              <w:lang w:bidi="nn-NO"/>
            </w:rPr>
            <w:t xml:space="preserve">Retningslinje – </w:t>
          </w:r>
          <w:r w:rsidR="00605ABC" w:rsidRPr="00D82217">
            <w:rPr>
              <w:b/>
              <w:color w:val="2E74B5"/>
              <w:sz w:val="28"/>
              <w:lang w:bidi="nn-NO"/>
            </w:rPr>
            <w:t>Vurdere behov for risikovurderingar</w:t>
          </w:r>
        </w:p>
        <w:p w14:paraId="075147C2" w14:textId="77777777" w:rsidR="008A0B40" w:rsidRDefault="008A0B40" w:rsidP="00D82217">
          <w:pPr>
            <w:pStyle w:val="Topptekst"/>
            <w:rPr>
              <w:b/>
              <w:color w:val="FF0000"/>
              <w:sz w:val="20"/>
            </w:rPr>
          </w:pPr>
        </w:p>
        <w:p w14:paraId="543A8530" w14:textId="67853BA0" w:rsidR="00FB0A50" w:rsidRPr="00F24610" w:rsidRDefault="00FB0A50" w:rsidP="00B848B5">
          <w:pPr>
            <w:pStyle w:val="Topptekst"/>
            <w:rPr>
              <w:b/>
              <w:color w:val="FF0000"/>
              <w:sz w:val="20"/>
            </w:rPr>
          </w:pPr>
          <w:r w:rsidRPr="00F24610">
            <w:rPr>
              <w:b/>
              <w:color w:val="FF0000"/>
              <w:sz w:val="20"/>
              <w:lang w:bidi="nn-NO"/>
            </w:rPr>
            <w:t xml:space="preserve">(DØME per </w:t>
          </w:r>
          <w:r w:rsidR="000E1063">
            <w:rPr>
              <w:b/>
              <w:color w:val="FF0000"/>
              <w:sz w:val="20"/>
              <w:lang w:bidi="nn-NO"/>
            </w:rPr>
            <w:t>1</w:t>
          </w:r>
          <w:r w:rsidRPr="00F24610">
            <w:rPr>
              <w:b/>
              <w:color w:val="FF0000"/>
              <w:sz w:val="20"/>
              <w:lang w:bidi="nn-NO"/>
            </w:rPr>
            <w:t>.</w:t>
          </w:r>
          <w:r w:rsidR="000E1063">
            <w:rPr>
              <w:b/>
              <w:color w:val="FF0000"/>
              <w:sz w:val="20"/>
              <w:lang w:bidi="nn-NO"/>
            </w:rPr>
            <w:t>1</w:t>
          </w:r>
          <w:r w:rsidRPr="00F24610">
            <w:rPr>
              <w:b/>
              <w:color w:val="FF0000"/>
              <w:sz w:val="20"/>
              <w:lang w:bidi="nn-NO"/>
            </w:rPr>
            <w:t>.20</w:t>
          </w:r>
          <w:r w:rsidR="000E1063">
            <w:rPr>
              <w:b/>
              <w:color w:val="FF0000"/>
              <w:sz w:val="20"/>
              <w:lang w:bidi="nn-NO"/>
            </w:rPr>
            <w:t>22</w:t>
          </w:r>
          <w:r w:rsidRPr="00F24610">
            <w:rPr>
              <w:b/>
              <w:color w:val="FF0000"/>
              <w:sz w:val="20"/>
              <w:lang w:bidi="nn-NO"/>
            </w:rPr>
            <w:t xml:space="preserve"> - utarbeidd av Digitaliseringsdirektoratet)</w:t>
          </w:r>
        </w:p>
      </w:tc>
    </w:tr>
  </w:tbl>
  <w:p w14:paraId="7DB18F9D" w14:textId="77777777" w:rsidR="00FB0A50" w:rsidRDefault="00FB0A50">
    <w:pPr>
      <w:pStyle w:val="Top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E9F"/>
    <w:multiLevelType w:val="hybridMultilevel"/>
    <w:tmpl w:val="9A8A4932"/>
    <w:lvl w:ilvl="0" w:tplc="345AB1EA">
      <w:start w:val="4"/>
      <w:numFmt w:val="decimal"/>
      <w:pStyle w:val="Overskrift3"/>
      <w:lvlText w:val="%1"/>
      <w:lvlJc w:val="left"/>
      <w:pPr>
        <w:tabs>
          <w:tab w:val="num" w:pos="1065"/>
        </w:tabs>
        <w:ind w:left="1065" w:hanging="705"/>
      </w:pPr>
      <w:rPr>
        <w:rFonts w:hint="default"/>
      </w:rPr>
    </w:lvl>
    <w:lvl w:ilvl="1" w:tplc="6B9842B4">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82C3775"/>
    <w:multiLevelType w:val="hybridMultilevel"/>
    <w:tmpl w:val="763404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CD44C6"/>
    <w:multiLevelType w:val="hybridMultilevel"/>
    <w:tmpl w:val="28C69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C910BC"/>
    <w:multiLevelType w:val="hybridMultilevel"/>
    <w:tmpl w:val="57C6CCE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492357"/>
    <w:multiLevelType w:val="hybridMultilevel"/>
    <w:tmpl w:val="D8583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790CB6"/>
    <w:multiLevelType w:val="hybridMultilevel"/>
    <w:tmpl w:val="DDEEB13C"/>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0856A1E"/>
    <w:multiLevelType w:val="hybridMultilevel"/>
    <w:tmpl w:val="7DEC3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AB695C"/>
    <w:multiLevelType w:val="multilevel"/>
    <w:tmpl w:val="CBA63694"/>
    <w:lvl w:ilvl="0">
      <w:start w:val="1"/>
      <w:numFmt w:val="decimal"/>
      <w:pStyle w:val="Overskrift1"/>
      <w:lvlText w:val="%1."/>
      <w:lvlJc w:val="left"/>
      <w:pPr>
        <w:ind w:left="360" w:hanging="360"/>
      </w:p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FC865A3"/>
    <w:multiLevelType w:val="hybridMultilevel"/>
    <w:tmpl w:val="BB38D9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8BF44DD"/>
    <w:multiLevelType w:val="hybridMultilevel"/>
    <w:tmpl w:val="158CE4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4477B2"/>
    <w:multiLevelType w:val="hybridMultilevel"/>
    <w:tmpl w:val="56BAA4FE"/>
    <w:lvl w:ilvl="0" w:tplc="04140001">
      <w:start w:val="1"/>
      <w:numFmt w:val="bullet"/>
      <w:lvlText w:val=""/>
      <w:lvlJc w:val="left"/>
      <w:pPr>
        <w:ind w:left="357" w:hanging="360"/>
      </w:pPr>
      <w:rPr>
        <w:rFonts w:ascii="Symbol" w:hAnsi="Symbol" w:hint="default"/>
      </w:rPr>
    </w:lvl>
    <w:lvl w:ilvl="1" w:tplc="04140003">
      <w:start w:val="1"/>
      <w:numFmt w:val="bullet"/>
      <w:lvlText w:val="o"/>
      <w:lvlJc w:val="left"/>
      <w:pPr>
        <w:ind w:left="1077" w:hanging="360"/>
      </w:pPr>
      <w:rPr>
        <w:rFonts w:ascii="Courier New" w:hAnsi="Courier New" w:cs="Courier New" w:hint="default"/>
      </w:rPr>
    </w:lvl>
    <w:lvl w:ilvl="2" w:tplc="04140005" w:tentative="1">
      <w:start w:val="1"/>
      <w:numFmt w:val="bullet"/>
      <w:lvlText w:val=""/>
      <w:lvlJc w:val="left"/>
      <w:pPr>
        <w:ind w:left="1797" w:hanging="360"/>
      </w:pPr>
      <w:rPr>
        <w:rFonts w:ascii="Wingdings" w:hAnsi="Wingdings" w:hint="default"/>
      </w:rPr>
    </w:lvl>
    <w:lvl w:ilvl="3" w:tplc="04140001" w:tentative="1">
      <w:start w:val="1"/>
      <w:numFmt w:val="bullet"/>
      <w:lvlText w:val=""/>
      <w:lvlJc w:val="left"/>
      <w:pPr>
        <w:ind w:left="2517" w:hanging="360"/>
      </w:pPr>
      <w:rPr>
        <w:rFonts w:ascii="Symbol" w:hAnsi="Symbol" w:hint="default"/>
      </w:rPr>
    </w:lvl>
    <w:lvl w:ilvl="4" w:tplc="04140003" w:tentative="1">
      <w:start w:val="1"/>
      <w:numFmt w:val="bullet"/>
      <w:lvlText w:val="o"/>
      <w:lvlJc w:val="left"/>
      <w:pPr>
        <w:ind w:left="3237" w:hanging="360"/>
      </w:pPr>
      <w:rPr>
        <w:rFonts w:ascii="Courier New" w:hAnsi="Courier New" w:cs="Courier New" w:hint="default"/>
      </w:rPr>
    </w:lvl>
    <w:lvl w:ilvl="5" w:tplc="04140005" w:tentative="1">
      <w:start w:val="1"/>
      <w:numFmt w:val="bullet"/>
      <w:lvlText w:val=""/>
      <w:lvlJc w:val="left"/>
      <w:pPr>
        <w:ind w:left="3957" w:hanging="360"/>
      </w:pPr>
      <w:rPr>
        <w:rFonts w:ascii="Wingdings" w:hAnsi="Wingdings" w:hint="default"/>
      </w:rPr>
    </w:lvl>
    <w:lvl w:ilvl="6" w:tplc="04140001" w:tentative="1">
      <w:start w:val="1"/>
      <w:numFmt w:val="bullet"/>
      <w:lvlText w:val=""/>
      <w:lvlJc w:val="left"/>
      <w:pPr>
        <w:ind w:left="4677" w:hanging="360"/>
      </w:pPr>
      <w:rPr>
        <w:rFonts w:ascii="Symbol" w:hAnsi="Symbol" w:hint="default"/>
      </w:rPr>
    </w:lvl>
    <w:lvl w:ilvl="7" w:tplc="04140003" w:tentative="1">
      <w:start w:val="1"/>
      <w:numFmt w:val="bullet"/>
      <w:lvlText w:val="o"/>
      <w:lvlJc w:val="left"/>
      <w:pPr>
        <w:ind w:left="5397" w:hanging="360"/>
      </w:pPr>
      <w:rPr>
        <w:rFonts w:ascii="Courier New" w:hAnsi="Courier New" w:cs="Courier New" w:hint="default"/>
      </w:rPr>
    </w:lvl>
    <w:lvl w:ilvl="8" w:tplc="04140005" w:tentative="1">
      <w:start w:val="1"/>
      <w:numFmt w:val="bullet"/>
      <w:lvlText w:val=""/>
      <w:lvlJc w:val="left"/>
      <w:pPr>
        <w:ind w:left="6117" w:hanging="360"/>
      </w:pPr>
      <w:rPr>
        <w:rFonts w:ascii="Wingdings" w:hAnsi="Wingdings" w:hint="default"/>
      </w:rPr>
    </w:lvl>
  </w:abstractNum>
  <w:abstractNum w:abstractNumId="11" w15:restartNumberingAfterBreak="0">
    <w:nsid w:val="7242254C"/>
    <w:multiLevelType w:val="hybridMultilevel"/>
    <w:tmpl w:val="0F14E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1"/>
  </w:num>
  <w:num w:numId="5">
    <w:abstractNumId w:val="5"/>
  </w:num>
  <w:num w:numId="6">
    <w:abstractNumId w:val="3"/>
  </w:num>
  <w:num w:numId="7">
    <w:abstractNumId w:val="8"/>
  </w:num>
  <w:num w:numId="8">
    <w:abstractNumId w:val="11"/>
  </w:num>
  <w:num w:numId="9">
    <w:abstractNumId w:val="9"/>
  </w:num>
  <w:num w:numId="10">
    <w:abstractNumId w:val="4"/>
  </w:num>
  <w:num w:numId="11">
    <w:abstractNumId w:val="7"/>
  </w:num>
  <w:num w:numId="12">
    <w:abstractNumId w:val="6"/>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1339E"/>
    <w:rsid w:val="000008C5"/>
    <w:rsid w:val="00003B6C"/>
    <w:rsid w:val="000048F8"/>
    <w:rsid w:val="00005A78"/>
    <w:rsid w:val="000070AC"/>
    <w:rsid w:val="00016E2D"/>
    <w:rsid w:val="00023578"/>
    <w:rsid w:val="0002375E"/>
    <w:rsid w:val="00025306"/>
    <w:rsid w:val="000264E8"/>
    <w:rsid w:val="00030D08"/>
    <w:rsid w:val="00032309"/>
    <w:rsid w:val="000336CA"/>
    <w:rsid w:val="000350E4"/>
    <w:rsid w:val="00041B82"/>
    <w:rsid w:val="000448FB"/>
    <w:rsid w:val="00045100"/>
    <w:rsid w:val="00046389"/>
    <w:rsid w:val="00051DD7"/>
    <w:rsid w:val="000605BC"/>
    <w:rsid w:val="00061FFB"/>
    <w:rsid w:val="00063A4A"/>
    <w:rsid w:val="00071575"/>
    <w:rsid w:val="0007476B"/>
    <w:rsid w:val="0007617F"/>
    <w:rsid w:val="00090342"/>
    <w:rsid w:val="00096A79"/>
    <w:rsid w:val="000A31A6"/>
    <w:rsid w:val="000A3CD1"/>
    <w:rsid w:val="000A4D50"/>
    <w:rsid w:val="000A5CE0"/>
    <w:rsid w:val="000B46B7"/>
    <w:rsid w:val="000C07C2"/>
    <w:rsid w:val="000C1B71"/>
    <w:rsid w:val="000C1C95"/>
    <w:rsid w:val="000C444A"/>
    <w:rsid w:val="000C4B4F"/>
    <w:rsid w:val="000C6F77"/>
    <w:rsid w:val="000D0A7B"/>
    <w:rsid w:val="000D6AEA"/>
    <w:rsid w:val="000D7489"/>
    <w:rsid w:val="000D7F14"/>
    <w:rsid w:val="000E1063"/>
    <w:rsid w:val="000F231E"/>
    <w:rsid w:val="00100F0D"/>
    <w:rsid w:val="0010315B"/>
    <w:rsid w:val="001039C3"/>
    <w:rsid w:val="00107019"/>
    <w:rsid w:val="00110387"/>
    <w:rsid w:val="00110770"/>
    <w:rsid w:val="0011425A"/>
    <w:rsid w:val="00116B5C"/>
    <w:rsid w:val="00125EBD"/>
    <w:rsid w:val="00127FF5"/>
    <w:rsid w:val="00131331"/>
    <w:rsid w:val="00132BB9"/>
    <w:rsid w:val="00133BD5"/>
    <w:rsid w:val="00137A8E"/>
    <w:rsid w:val="00140517"/>
    <w:rsid w:val="00146F07"/>
    <w:rsid w:val="001479E5"/>
    <w:rsid w:val="00151653"/>
    <w:rsid w:val="00153A31"/>
    <w:rsid w:val="0015717E"/>
    <w:rsid w:val="0015740A"/>
    <w:rsid w:val="00161759"/>
    <w:rsid w:val="001636B8"/>
    <w:rsid w:val="00163BED"/>
    <w:rsid w:val="00163DA2"/>
    <w:rsid w:val="001725CC"/>
    <w:rsid w:val="001774A6"/>
    <w:rsid w:val="0018220F"/>
    <w:rsid w:val="00183A2A"/>
    <w:rsid w:val="00184D0F"/>
    <w:rsid w:val="00186165"/>
    <w:rsid w:val="00191475"/>
    <w:rsid w:val="00194988"/>
    <w:rsid w:val="00196C91"/>
    <w:rsid w:val="001A0525"/>
    <w:rsid w:val="001A0BAC"/>
    <w:rsid w:val="001A512D"/>
    <w:rsid w:val="001B1E28"/>
    <w:rsid w:val="001B28AE"/>
    <w:rsid w:val="001C07FE"/>
    <w:rsid w:val="001D023F"/>
    <w:rsid w:val="001D0577"/>
    <w:rsid w:val="001D2D8B"/>
    <w:rsid w:val="001D64D1"/>
    <w:rsid w:val="001D6DFA"/>
    <w:rsid w:val="001E3AC4"/>
    <w:rsid w:val="001E3C44"/>
    <w:rsid w:val="001E4898"/>
    <w:rsid w:val="001F0B90"/>
    <w:rsid w:val="001F213C"/>
    <w:rsid w:val="001F33EE"/>
    <w:rsid w:val="001F5E4C"/>
    <w:rsid w:val="001F734B"/>
    <w:rsid w:val="00200C30"/>
    <w:rsid w:val="00200E3D"/>
    <w:rsid w:val="002048DC"/>
    <w:rsid w:val="002056DC"/>
    <w:rsid w:val="00205993"/>
    <w:rsid w:val="00205F7A"/>
    <w:rsid w:val="002062EB"/>
    <w:rsid w:val="00212636"/>
    <w:rsid w:val="00215943"/>
    <w:rsid w:val="00220D35"/>
    <w:rsid w:val="00226766"/>
    <w:rsid w:val="0023404E"/>
    <w:rsid w:val="0023430E"/>
    <w:rsid w:val="002363E4"/>
    <w:rsid w:val="0023776C"/>
    <w:rsid w:val="00240FF9"/>
    <w:rsid w:val="00245364"/>
    <w:rsid w:val="00251A7D"/>
    <w:rsid w:val="002526D2"/>
    <w:rsid w:val="00253CCD"/>
    <w:rsid w:val="002552BA"/>
    <w:rsid w:val="00257261"/>
    <w:rsid w:val="002600F2"/>
    <w:rsid w:val="00261B2F"/>
    <w:rsid w:val="00264178"/>
    <w:rsid w:val="00270B38"/>
    <w:rsid w:val="00272279"/>
    <w:rsid w:val="0027377F"/>
    <w:rsid w:val="00274020"/>
    <w:rsid w:val="00277C61"/>
    <w:rsid w:val="002823D8"/>
    <w:rsid w:val="00285AC7"/>
    <w:rsid w:val="00290846"/>
    <w:rsid w:val="00296040"/>
    <w:rsid w:val="00296218"/>
    <w:rsid w:val="002A2142"/>
    <w:rsid w:val="002A489F"/>
    <w:rsid w:val="002A60AE"/>
    <w:rsid w:val="002A7262"/>
    <w:rsid w:val="002B7203"/>
    <w:rsid w:val="002C528B"/>
    <w:rsid w:val="002C6D6D"/>
    <w:rsid w:val="002D0265"/>
    <w:rsid w:val="002D0DCC"/>
    <w:rsid w:val="002D184D"/>
    <w:rsid w:val="002D5BFB"/>
    <w:rsid w:val="002D6F92"/>
    <w:rsid w:val="002D779A"/>
    <w:rsid w:val="002E01A3"/>
    <w:rsid w:val="002E0E7C"/>
    <w:rsid w:val="002E580F"/>
    <w:rsid w:val="002E7B5B"/>
    <w:rsid w:val="002F1382"/>
    <w:rsid w:val="002F4DBD"/>
    <w:rsid w:val="003035E4"/>
    <w:rsid w:val="00303C72"/>
    <w:rsid w:val="00304ECA"/>
    <w:rsid w:val="00304F38"/>
    <w:rsid w:val="00305763"/>
    <w:rsid w:val="00305A97"/>
    <w:rsid w:val="00306005"/>
    <w:rsid w:val="003113DF"/>
    <w:rsid w:val="003128D6"/>
    <w:rsid w:val="00312FDD"/>
    <w:rsid w:val="003136E0"/>
    <w:rsid w:val="00331AD6"/>
    <w:rsid w:val="003323AB"/>
    <w:rsid w:val="0033441E"/>
    <w:rsid w:val="00336450"/>
    <w:rsid w:val="00336C48"/>
    <w:rsid w:val="0034007D"/>
    <w:rsid w:val="00340F25"/>
    <w:rsid w:val="00342E34"/>
    <w:rsid w:val="00345AAF"/>
    <w:rsid w:val="00354662"/>
    <w:rsid w:val="0035498B"/>
    <w:rsid w:val="003617B3"/>
    <w:rsid w:val="00365E85"/>
    <w:rsid w:val="00376FEE"/>
    <w:rsid w:val="0038168C"/>
    <w:rsid w:val="00390237"/>
    <w:rsid w:val="00394B1A"/>
    <w:rsid w:val="00396282"/>
    <w:rsid w:val="00397F6B"/>
    <w:rsid w:val="003A0149"/>
    <w:rsid w:val="003A082E"/>
    <w:rsid w:val="003A3BEE"/>
    <w:rsid w:val="003A550A"/>
    <w:rsid w:val="003A6312"/>
    <w:rsid w:val="003A6497"/>
    <w:rsid w:val="003A64D1"/>
    <w:rsid w:val="003B6029"/>
    <w:rsid w:val="003B6443"/>
    <w:rsid w:val="003D420B"/>
    <w:rsid w:val="003D4E68"/>
    <w:rsid w:val="003D5A34"/>
    <w:rsid w:val="003D5F2D"/>
    <w:rsid w:val="003E3733"/>
    <w:rsid w:val="003E3E02"/>
    <w:rsid w:val="003E52E4"/>
    <w:rsid w:val="003F0D92"/>
    <w:rsid w:val="003F4A7D"/>
    <w:rsid w:val="003F5F22"/>
    <w:rsid w:val="004007C6"/>
    <w:rsid w:val="004047E0"/>
    <w:rsid w:val="004058E7"/>
    <w:rsid w:val="00406AB9"/>
    <w:rsid w:val="00411008"/>
    <w:rsid w:val="004146FB"/>
    <w:rsid w:val="00416B98"/>
    <w:rsid w:val="00421BE1"/>
    <w:rsid w:val="00424574"/>
    <w:rsid w:val="0043396A"/>
    <w:rsid w:val="00434BAC"/>
    <w:rsid w:val="00436F1F"/>
    <w:rsid w:val="004413C9"/>
    <w:rsid w:val="00443658"/>
    <w:rsid w:val="00443A7A"/>
    <w:rsid w:val="004462C1"/>
    <w:rsid w:val="004477B3"/>
    <w:rsid w:val="00447D95"/>
    <w:rsid w:val="00451D42"/>
    <w:rsid w:val="004548C8"/>
    <w:rsid w:val="00460069"/>
    <w:rsid w:val="004609A6"/>
    <w:rsid w:val="00464C03"/>
    <w:rsid w:val="00465FDC"/>
    <w:rsid w:val="0046606C"/>
    <w:rsid w:val="00466960"/>
    <w:rsid w:val="00467910"/>
    <w:rsid w:val="00477F46"/>
    <w:rsid w:val="00482F71"/>
    <w:rsid w:val="00484CFE"/>
    <w:rsid w:val="00485B1E"/>
    <w:rsid w:val="00487A88"/>
    <w:rsid w:val="00487F8E"/>
    <w:rsid w:val="00490F3F"/>
    <w:rsid w:val="00495D67"/>
    <w:rsid w:val="00497B93"/>
    <w:rsid w:val="004A2ACA"/>
    <w:rsid w:val="004A35BF"/>
    <w:rsid w:val="004A66A7"/>
    <w:rsid w:val="004A7C53"/>
    <w:rsid w:val="004B088D"/>
    <w:rsid w:val="004B2878"/>
    <w:rsid w:val="004B4683"/>
    <w:rsid w:val="004C4B92"/>
    <w:rsid w:val="004C6691"/>
    <w:rsid w:val="004C6734"/>
    <w:rsid w:val="004D4F2E"/>
    <w:rsid w:val="004E3BC7"/>
    <w:rsid w:val="004E5601"/>
    <w:rsid w:val="004E6E54"/>
    <w:rsid w:val="004F2FEB"/>
    <w:rsid w:val="004F7A5F"/>
    <w:rsid w:val="00503576"/>
    <w:rsid w:val="005047AA"/>
    <w:rsid w:val="00505838"/>
    <w:rsid w:val="00507701"/>
    <w:rsid w:val="005157B6"/>
    <w:rsid w:val="00531973"/>
    <w:rsid w:val="005336F7"/>
    <w:rsid w:val="005341CD"/>
    <w:rsid w:val="00534423"/>
    <w:rsid w:val="0053655F"/>
    <w:rsid w:val="00540D9C"/>
    <w:rsid w:val="005456FA"/>
    <w:rsid w:val="00547C8A"/>
    <w:rsid w:val="005507C1"/>
    <w:rsid w:val="00551DEB"/>
    <w:rsid w:val="005544A9"/>
    <w:rsid w:val="005555AF"/>
    <w:rsid w:val="00556C74"/>
    <w:rsid w:val="00562045"/>
    <w:rsid w:val="00562C71"/>
    <w:rsid w:val="0056560D"/>
    <w:rsid w:val="0056618F"/>
    <w:rsid w:val="00566FD2"/>
    <w:rsid w:val="00573413"/>
    <w:rsid w:val="005755FE"/>
    <w:rsid w:val="00581AE1"/>
    <w:rsid w:val="00582260"/>
    <w:rsid w:val="005845DD"/>
    <w:rsid w:val="00584D75"/>
    <w:rsid w:val="00587915"/>
    <w:rsid w:val="005904C4"/>
    <w:rsid w:val="005960CA"/>
    <w:rsid w:val="005A7B12"/>
    <w:rsid w:val="005B1F45"/>
    <w:rsid w:val="005B2757"/>
    <w:rsid w:val="005B53D7"/>
    <w:rsid w:val="005B5777"/>
    <w:rsid w:val="005B7D44"/>
    <w:rsid w:val="005C2655"/>
    <w:rsid w:val="005C2C80"/>
    <w:rsid w:val="005C3840"/>
    <w:rsid w:val="005C4EA3"/>
    <w:rsid w:val="005D03C4"/>
    <w:rsid w:val="005D6655"/>
    <w:rsid w:val="005E2DF7"/>
    <w:rsid w:val="005E40C3"/>
    <w:rsid w:val="005E416A"/>
    <w:rsid w:val="005E4517"/>
    <w:rsid w:val="005E72A1"/>
    <w:rsid w:val="005F1458"/>
    <w:rsid w:val="005F3E8E"/>
    <w:rsid w:val="005F79E3"/>
    <w:rsid w:val="00605ABC"/>
    <w:rsid w:val="00610BDD"/>
    <w:rsid w:val="006116DC"/>
    <w:rsid w:val="0061269C"/>
    <w:rsid w:val="00615C2F"/>
    <w:rsid w:val="00617360"/>
    <w:rsid w:val="00620FA1"/>
    <w:rsid w:val="006220E6"/>
    <w:rsid w:val="00624A58"/>
    <w:rsid w:val="00626934"/>
    <w:rsid w:val="00630138"/>
    <w:rsid w:val="00630A4D"/>
    <w:rsid w:val="0063147E"/>
    <w:rsid w:val="00631BB8"/>
    <w:rsid w:val="00632C36"/>
    <w:rsid w:val="006330AA"/>
    <w:rsid w:val="0063644C"/>
    <w:rsid w:val="00642141"/>
    <w:rsid w:val="006442C2"/>
    <w:rsid w:val="0064643C"/>
    <w:rsid w:val="00651CAA"/>
    <w:rsid w:val="00655F7B"/>
    <w:rsid w:val="00662500"/>
    <w:rsid w:val="00664527"/>
    <w:rsid w:val="00676155"/>
    <w:rsid w:val="00684C1C"/>
    <w:rsid w:val="00692B3D"/>
    <w:rsid w:val="00695BDF"/>
    <w:rsid w:val="00695F42"/>
    <w:rsid w:val="006A38A2"/>
    <w:rsid w:val="006B2930"/>
    <w:rsid w:val="006B55B0"/>
    <w:rsid w:val="006B7F1F"/>
    <w:rsid w:val="006C45F9"/>
    <w:rsid w:val="006C6D65"/>
    <w:rsid w:val="006C755D"/>
    <w:rsid w:val="006C7EF3"/>
    <w:rsid w:val="006D036F"/>
    <w:rsid w:val="006D2641"/>
    <w:rsid w:val="006D3F73"/>
    <w:rsid w:val="006E26E2"/>
    <w:rsid w:val="006E569C"/>
    <w:rsid w:val="006E6BB5"/>
    <w:rsid w:val="006E7A17"/>
    <w:rsid w:val="006F4F87"/>
    <w:rsid w:val="0071100A"/>
    <w:rsid w:val="00712D38"/>
    <w:rsid w:val="00717D7F"/>
    <w:rsid w:val="00721468"/>
    <w:rsid w:val="00722B93"/>
    <w:rsid w:val="00726678"/>
    <w:rsid w:val="007315CD"/>
    <w:rsid w:val="00733505"/>
    <w:rsid w:val="00735C01"/>
    <w:rsid w:val="00743D7C"/>
    <w:rsid w:val="007468E6"/>
    <w:rsid w:val="00746C1B"/>
    <w:rsid w:val="00760ED5"/>
    <w:rsid w:val="00763937"/>
    <w:rsid w:val="007677AB"/>
    <w:rsid w:val="00773AE9"/>
    <w:rsid w:val="00774BEA"/>
    <w:rsid w:val="007770F5"/>
    <w:rsid w:val="00783588"/>
    <w:rsid w:val="00783F5B"/>
    <w:rsid w:val="00786294"/>
    <w:rsid w:val="007863AE"/>
    <w:rsid w:val="00786DE4"/>
    <w:rsid w:val="00787D19"/>
    <w:rsid w:val="007904ED"/>
    <w:rsid w:val="00793024"/>
    <w:rsid w:val="007A11D3"/>
    <w:rsid w:val="007A1F51"/>
    <w:rsid w:val="007A2A5F"/>
    <w:rsid w:val="007B0915"/>
    <w:rsid w:val="007B5ADE"/>
    <w:rsid w:val="007B7296"/>
    <w:rsid w:val="007B7FDB"/>
    <w:rsid w:val="007C6609"/>
    <w:rsid w:val="007C7175"/>
    <w:rsid w:val="007D0E99"/>
    <w:rsid w:val="007D345C"/>
    <w:rsid w:val="007E6C8A"/>
    <w:rsid w:val="007F0B02"/>
    <w:rsid w:val="007F17E5"/>
    <w:rsid w:val="007F7939"/>
    <w:rsid w:val="008019AD"/>
    <w:rsid w:val="00802D42"/>
    <w:rsid w:val="00802F65"/>
    <w:rsid w:val="008041E3"/>
    <w:rsid w:val="0080580D"/>
    <w:rsid w:val="008130F3"/>
    <w:rsid w:val="008164EF"/>
    <w:rsid w:val="00826F31"/>
    <w:rsid w:val="00831270"/>
    <w:rsid w:val="008431DC"/>
    <w:rsid w:val="00847BC3"/>
    <w:rsid w:val="00852D4D"/>
    <w:rsid w:val="0085508C"/>
    <w:rsid w:val="00856BE8"/>
    <w:rsid w:val="00866E81"/>
    <w:rsid w:val="00870EDA"/>
    <w:rsid w:val="00875B7D"/>
    <w:rsid w:val="00876BE3"/>
    <w:rsid w:val="00876C83"/>
    <w:rsid w:val="00876CBF"/>
    <w:rsid w:val="008821BB"/>
    <w:rsid w:val="0088306F"/>
    <w:rsid w:val="008858A8"/>
    <w:rsid w:val="0088654F"/>
    <w:rsid w:val="00886626"/>
    <w:rsid w:val="008868F1"/>
    <w:rsid w:val="0089081C"/>
    <w:rsid w:val="00890BBC"/>
    <w:rsid w:val="00894977"/>
    <w:rsid w:val="008A0B40"/>
    <w:rsid w:val="008A3DEC"/>
    <w:rsid w:val="008A4849"/>
    <w:rsid w:val="008A5E8A"/>
    <w:rsid w:val="008B3385"/>
    <w:rsid w:val="008B6AFD"/>
    <w:rsid w:val="008C1A88"/>
    <w:rsid w:val="008D65DE"/>
    <w:rsid w:val="008E2CDE"/>
    <w:rsid w:val="008E4B2B"/>
    <w:rsid w:val="008E5BDA"/>
    <w:rsid w:val="008E5D2F"/>
    <w:rsid w:val="008E6D30"/>
    <w:rsid w:val="008F3263"/>
    <w:rsid w:val="008F4F80"/>
    <w:rsid w:val="009051F3"/>
    <w:rsid w:val="00906CBB"/>
    <w:rsid w:val="009105F7"/>
    <w:rsid w:val="00910C2F"/>
    <w:rsid w:val="009118FB"/>
    <w:rsid w:val="00913943"/>
    <w:rsid w:val="00920704"/>
    <w:rsid w:val="00920E78"/>
    <w:rsid w:val="00921316"/>
    <w:rsid w:val="00923AC2"/>
    <w:rsid w:val="00927490"/>
    <w:rsid w:val="00930B4D"/>
    <w:rsid w:val="00930C34"/>
    <w:rsid w:val="00931079"/>
    <w:rsid w:val="00931E23"/>
    <w:rsid w:val="0094296B"/>
    <w:rsid w:val="009449C5"/>
    <w:rsid w:val="00944F58"/>
    <w:rsid w:val="00946653"/>
    <w:rsid w:val="009567AE"/>
    <w:rsid w:val="00957DA1"/>
    <w:rsid w:val="009626A1"/>
    <w:rsid w:val="009646AE"/>
    <w:rsid w:val="00966E83"/>
    <w:rsid w:val="00967095"/>
    <w:rsid w:val="009677C4"/>
    <w:rsid w:val="009724B0"/>
    <w:rsid w:val="009730A9"/>
    <w:rsid w:val="0097561D"/>
    <w:rsid w:val="00985833"/>
    <w:rsid w:val="00985F1A"/>
    <w:rsid w:val="00992EB8"/>
    <w:rsid w:val="0099395D"/>
    <w:rsid w:val="009A17F3"/>
    <w:rsid w:val="009B0AC6"/>
    <w:rsid w:val="009B3BCC"/>
    <w:rsid w:val="009B6EFA"/>
    <w:rsid w:val="009C09F4"/>
    <w:rsid w:val="009C0B55"/>
    <w:rsid w:val="009C5203"/>
    <w:rsid w:val="009C57ED"/>
    <w:rsid w:val="009C6213"/>
    <w:rsid w:val="009D0126"/>
    <w:rsid w:val="009D2C8E"/>
    <w:rsid w:val="009D2E02"/>
    <w:rsid w:val="009E0E0B"/>
    <w:rsid w:val="009E0EF1"/>
    <w:rsid w:val="009E4352"/>
    <w:rsid w:val="009E4AAD"/>
    <w:rsid w:val="009E5614"/>
    <w:rsid w:val="009F1F28"/>
    <w:rsid w:val="009F4100"/>
    <w:rsid w:val="009F51E2"/>
    <w:rsid w:val="009F70FF"/>
    <w:rsid w:val="009F78EC"/>
    <w:rsid w:val="00A01206"/>
    <w:rsid w:val="00A02A73"/>
    <w:rsid w:val="00A038E9"/>
    <w:rsid w:val="00A075FF"/>
    <w:rsid w:val="00A1052D"/>
    <w:rsid w:val="00A17260"/>
    <w:rsid w:val="00A20183"/>
    <w:rsid w:val="00A25CAE"/>
    <w:rsid w:val="00A26AB2"/>
    <w:rsid w:val="00A315AE"/>
    <w:rsid w:val="00A33175"/>
    <w:rsid w:val="00A33457"/>
    <w:rsid w:val="00A33FBE"/>
    <w:rsid w:val="00A341B8"/>
    <w:rsid w:val="00A34EB6"/>
    <w:rsid w:val="00A36D05"/>
    <w:rsid w:val="00A370E4"/>
    <w:rsid w:val="00A5312A"/>
    <w:rsid w:val="00A53947"/>
    <w:rsid w:val="00A57903"/>
    <w:rsid w:val="00A60934"/>
    <w:rsid w:val="00A634D4"/>
    <w:rsid w:val="00A65045"/>
    <w:rsid w:val="00A672FF"/>
    <w:rsid w:val="00A7075E"/>
    <w:rsid w:val="00A712C2"/>
    <w:rsid w:val="00A74D5A"/>
    <w:rsid w:val="00A74FA6"/>
    <w:rsid w:val="00A84B6B"/>
    <w:rsid w:val="00A86420"/>
    <w:rsid w:val="00A92743"/>
    <w:rsid w:val="00A94A15"/>
    <w:rsid w:val="00A958FE"/>
    <w:rsid w:val="00A9699D"/>
    <w:rsid w:val="00A97E6F"/>
    <w:rsid w:val="00AA1418"/>
    <w:rsid w:val="00AA21FE"/>
    <w:rsid w:val="00AA2766"/>
    <w:rsid w:val="00AA7849"/>
    <w:rsid w:val="00AB3F68"/>
    <w:rsid w:val="00AB574B"/>
    <w:rsid w:val="00AC182A"/>
    <w:rsid w:val="00AC62DB"/>
    <w:rsid w:val="00AC635B"/>
    <w:rsid w:val="00AC6FEB"/>
    <w:rsid w:val="00AC7A49"/>
    <w:rsid w:val="00AC7D45"/>
    <w:rsid w:val="00AE3591"/>
    <w:rsid w:val="00AE73DE"/>
    <w:rsid w:val="00AE75CB"/>
    <w:rsid w:val="00AF3923"/>
    <w:rsid w:val="00AF40FF"/>
    <w:rsid w:val="00B00E9F"/>
    <w:rsid w:val="00B02F95"/>
    <w:rsid w:val="00B04FEC"/>
    <w:rsid w:val="00B20D65"/>
    <w:rsid w:val="00B240C8"/>
    <w:rsid w:val="00B25B1B"/>
    <w:rsid w:val="00B43010"/>
    <w:rsid w:val="00B44C54"/>
    <w:rsid w:val="00B514B9"/>
    <w:rsid w:val="00B51A53"/>
    <w:rsid w:val="00B520CC"/>
    <w:rsid w:val="00B52E20"/>
    <w:rsid w:val="00B53325"/>
    <w:rsid w:val="00B61AD6"/>
    <w:rsid w:val="00B6641B"/>
    <w:rsid w:val="00B82064"/>
    <w:rsid w:val="00B82E0B"/>
    <w:rsid w:val="00B848B5"/>
    <w:rsid w:val="00B86265"/>
    <w:rsid w:val="00B91A6C"/>
    <w:rsid w:val="00B91B2B"/>
    <w:rsid w:val="00B96CCC"/>
    <w:rsid w:val="00BA4469"/>
    <w:rsid w:val="00BA4D7B"/>
    <w:rsid w:val="00BB15DA"/>
    <w:rsid w:val="00BB489B"/>
    <w:rsid w:val="00BB7F0D"/>
    <w:rsid w:val="00BC1B17"/>
    <w:rsid w:val="00BC1C67"/>
    <w:rsid w:val="00BC57A8"/>
    <w:rsid w:val="00BC5AB0"/>
    <w:rsid w:val="00BD054D"/>
    <w:rsid w:val="00BD2D04"/>
    <w:rsid w:val="00BE054F"/>
    <w:rsid w:val="00BE125F"/>
    <w:rsid w:val="00BF1AE9"/>
    <w:rsid w:val="00BF4A12"/>
    <w:rsid w:val="00BF5B85"/>
    <w:rsid w:val="00C0068D"/>
    <w:rsid w:val="00C00951"/>
    <w:rsid w:val="00C02BAE"/>
    <w:rsid w:val="00C057C3"/>
    <w:rsid w:val="00C130C3"/>
    <w:rsid w:val="00C16945"/>
    <w:rsid w:val="00C175A4"/>
    <w:rsid w:val="00C221EF"/>
    <w:rsid w:val="00C30789"/>
    <w:rsid w:val="00C412B7"/>
    <w:rsid w:val="00C41497"/>
    <w:rsid w:val="00C433A3"/>
    <w:rsid w:val="00C46AFF"/>
    <w:rsid w:val="00C53563"/>
    <w:rsid w:val="00C61AD6"/>
    <w:rsid w:val="00C61FDD"/>
    <w:rsid w:val="00C65089"/>
    <w:rsid w:val="00C653D5"/>
    <w:rsid w:val="00C66FF7"/>
    <w:rsid w:val="00C71C06"/>
    <w:rsid w:val="00C75090"/>
    <w:rsid w:val="00C81946"/>
    <w:rsid w:val="00C8240A"/>
    <w:rsid w:val="00C8742F"/>
    <w:rsid w:val="00C9241E"/>
    <w:rsid w:val="00C929E9"/>
    <w:rsid w:val="00C9340E"/>
    <w:rsid w:val="00CA746A"/>
    <w:rsid w:val="00CA7AEC"/>
    <w:rsid w:val="00CB5A45"/>
    <w:rsid w:val="00CC05BA"/>
    <w:rsid w:val="00CC0D54"/>
    <w:rsid w:val="00CC1780"/>
    <w:rsid w:val="00CC17B6"/>
    <w:rsid w:val="00CC5B30"/>
    <w:rsid w:val="00CD06BF"/>
    <w:rsid w:val="00CD1C73"/>
    <w:rsid w:val="00CD277D"/>
    <w:rsid w:val="00CD63C4"/>
    <w:rsid w:val="00CE098F"/>
    <w:rsid w:val="00CE09A2"/>
    <w:rsid w:val="00CE0AC0"/>
    <w:rsid w:val="00CE3467"/>
    <w:rsid w:val="00CE69F6"/>
    <w:rsid w:val="00CF0806"/>
    <w:rsid w:val="00CF53B3"/>
    <w:rsid w:val="00CF72DE"/>
    <w:rsid w:val="00D038D1"/>
    <w:rsid w:val="00D07EBD"/>
    <w:rsid w:val="00D07FA9"/>
    <w:rsid w:val="00D116C5"/>
    <w:rsid w:val="00D12B1B"/>
    <w:rsid w:val="00D1339E"/>
    <w:rsid w:val="00D13CE1"/>
    <w:rsid w:val="00D40391"/>
    <w:rsid w:val="00D40603"/>
    <w:rsid w:val="00D4407B"/>
    <w:rsid w:val="00D47ABB"/>
    <w:rsid w:val="00D500BF"/>
    <w:rsid w:val="00D60EA7"/>
    <w:rsid w:val="00D63BD2"/>
    <w:rsid w:val="00D64E9A"/>
    <w:rsid w:val="00D67DA5"/>
    <w:rsid w:val="00D802FE"/>
    <w:rsid w:val="00D82217"/>
    <w:rsid w:val="00D8564C"/>
    <w:rsid w:val="00D91273"/>
    <w:rsid w:val="00D953B0"/>
    <w:rsid w:val="00DA2216"/>
    <w:rsid w:val="00DB2E2B"/>
    <w:rsid w:val="00DB34AA"/>
    <w:rsid w:val="00DB7C88"/>
    <w:rsid w:val="00DB7CF5"/>
    <w:rsid w:val="00DC0C6B"/>
    <w:rsid w:val="00DC64DE"/>
    <w:rsid w:val="00DD21EA"/>
    <w:rsid w:val="00DD4EF4"/>
    <w:rsid w:val="00DD7CA6"/>
    <w:rsid w:val="00DE1475"/>
    <w:rsid w:val="00DE37AE"/>
    <w:rsid w:val="00DF0647"/>
    <w:rsid w:val="00DF6FA6"/>
    <w:rsid w:val="00DF7FF7"/>
    <w:rsid w:val="00E001C3"/>
    <w:rsid w:val="00E0253A"/>
    <w:rsid w:val="00E053F8"/>
    <w:rsid w:val="00E05744"/>
    <w:rsid w:val="00E11714"/>
    <w:rsid w:val="00E12976"/>
    <w:rsid w:val="00E12FA0"/>
    <w:rsid w:val="00E15A19"/>
    <w:rsid w:val="00E16D85"/>
    <w:rsid w:val="00E20DE7"/>
    <w:rsid w:val="00E21D26"/>
    <w:rsid w:val="00E23307"/>
    <w:rsid w:val="00E267ED"/>
    <w:rsid w:val="00E424FD"/>
    <w:rsid w:val="00E47F7C"/>
    <w:rsid w:val="00E53C81"/>
    <w:rsid w:val="00E572F3"/>
    <w:rsid w:val="00E5736E"/>
    <w:rsid w:val="00E65E5F"/>
    <w:rsid w:val="00E67541"/>
    <w:rsid w:val="00E67AB1"/>
    <w:rsid w:val="00E72444"/>
    <w:rsid w:val="00E736CE"/>
    <w:rsid w:val="00E73FDF"/>
    <w:rsid w:val="00E843E1"/>
    <w:rsid w:val="00E96C0F"/>
    <w:rsid w:val="00EA049C"/>
    <w:rsid w:val="00EA1CBB"/>
    <w:rsid w:val="00EA1F3D"/>
    <w:rsid w:val="00EA2373"/>
    <w:rsid w:val="00EA288E"/>
    <w:rsid w:val="00EA28A9"/>
    <w:rsid w:val="00EA4334"/>
    <w:rsid w:val="00EA5BA6"/>
    <w:rsid w:val="00EA6EDC"/>
    <w:rsid w:val="00EB4100"/>
    <w:rsid w:val="00EC3066"/>
    <w:rsid w:val="00EC6529"/>
    <w:rsid w:val="00EC6EB9"/>
    <w:rsid w:val="00ED1A25"/>
    <w:rsid w:val="00ED1FA8"/>
    <w:rsid w:val="00EE3DE1"/>
    <w:rsid w:val="00EE74C6"/>
    <w:rsid w:val="00EF1658"/>
    <w:rsid w:val="00EF2233"/>
    <w:rsid w:val="00EF38D0"/>
    <w:rsid w:val="00EF3B0F"/>
    <w:rsid w:val="00EF3CCE"/>
    <w:rsid w:val="00EF4E64"/>
    <w:rsid w:val="00F00B0E"/>
    <w:rsid w:val="00F012CA"/>
    <w:rsid w:val="00F017AE"/>
    <w:rsid w:val="00F065E8"/>
    <w:rsid w:val="00F06E2F"/>
    <w:rsid w:val="00F07024"/>
    <w:rsid w:val="00F074DE"/>
    <w:rsid w:val="00F07FCB"/>
    <w:rsid w:val="00F14CE9"/>
    <w:rsid w:val="00F15665"/>
    <w:rsid w:val="00F16784"/>
    <w:rsid w:val="00F228CF"/>
    <w:rsid w:val="00F22C28"/>
    <w:rsid w:val="00F24610"/>
    <w:rsid w:val="00F24A02"/>
    <w:rsid w:val="00F271AE"/>
    <w:rsid w:val="00F30C94"/>
    <w:rsid w:val="00F318C4"/>
    <w:rsid w:val="00F33CE1"/>
    <w:rsid w:val="00F426EC"/>
    <w:rsid w:val="00F42E7A"/>
    <w:rsid w:val="00F43122"/>
    <w:rsid w:val="00F454AF"/>
    <w:rsid w:val="00F45ED8"/>
    <w:rsid w:val="00F50BD1"/>
    <w:rsid w:val="00F52FF9"/>
    <w:rsid w:val="00F54814"/>
    <w:rsid w:val="00F5593E"/>
    <w:rsid w:val="00F6142F"/>
    <w:rsid w:val="00F7160D"/>
    <w:rsid w:val="00F8785E"/>
    <w:rsid w:val="00F93AEC"/>
    <w:rsid w:val="00F97D8A"/>
    <w:rsid w:val="00FA0AD5"/>
    <w:rsid w:val="00FA1479"/>
    <w:rsid w:val="00FA2CBE"/>
    <w:rsid w:val="00FA4EF9"/>
    <w:rsid w:val="00FA5877"/>
    <w:rsid w:val="00FB0A50"/>
    <w:rsid w:val="00FB55C6"/>
    <w:rsid w:val="00FB5704"/>
    <w:rsid w:val="00FC213B"/>
    <w:rsid w:val="00FD269C"/>
    <w:rsid w:val="00FD6DE0"/>
    <w:rsid w:val="00FD7543"/>
    <w:rsid w:val="00FE16BD"/>
    <w:rsid w:val="00FE17DE"/>
    <w:rsid w:val="00FE2F03"/>
    <w:rsid w:val="00FE42C9"/>
    <w:rsid w:val="00FF51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20D20"/>
  <w15:chartTrackingRefBased/>
  <w15:docId w15:val="{B786A7BD-B3CD-4427-8691-EE755B0B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FDF"/>
    <w:rPr>
      <w:sz w:val="24"/>
      <w:lang w:eastAsia="en-US"/>
    </w:rPr>
  </w:style>
  <w:style w:type="paragraph" w:styleId="Overskrift1">
    <w:name w:val="heading 1"/>
    <w:basedOn w:val="Normal"/>
    <w:next w:val="Normal"/>
    <w:qFormat/>
    <w:rsid w:val="007F0B02"/>
    <w:pPr>
      <w:keepNext/>
      <w:numPr>
        <w:numId w:val="3"/>
      </w:numPr>
      <w:spacing w:before="120"/>
      <w:ind w:left="357" w:hanging="357"/>
      <w:outlineLvl w:val="0"/>
    </w:pPr>
    <w:rPr>
      <w:color w:val="2E74B5"/>
      <w:sz w:val="28"/>
      <w:szCs w:val="28"/>
    </w:rPr>
  </w:style>
  <w:style w:type="paragraph" w:styleId="Overskrift2">
    <w:name w:val="heading 2"/>
    <w:basedOn w:val="Normal"/>
    <w:next w:val="Normal"/>
    <w:qFormat/>
    <w:rsid w:val="00137A8E"/>
    <w:pPr>
      <w:keepNext/>
      <w:numPr>
        <w:ilvl w:val="1"/>
        <w:numId w:val="3"/>
      </w:numPr>
      <w:outlineLvl w:val="1"/>
    </w:pPr>
    <w:rPr>
      <w:b/>
      <w:bCs/>
      <w:color w:val="2E74B5"/>
      <w:szCs w:val="24"/>
    </w:rPr>
  </w:style>
  <w:style w:type="paragraph" w:styleId="Overskrift3">
    <w:name w:val="heading 3"/>
    <w:basedOn w:val="Normal"/>
    <w:next w:val="Normal"/>
    <w:qFormat/>
    <w:pPr>
      <w:keepNext/>
      <w:numPr>
        <w:numId w:val="1"/>
      </w:numPr>
      <w:tabs>
        <w:tab w:val="clear" w:pos="1065"/>
        <w:tab w:val="num" w:pos="720"/>
      </w:tabs>
      <w:ind w:hanging="1065"/>
      <w:outlineLvl w:val="2"/>
    </w:pPr>
    <w:rPr>
      <w:rFonts w:ascii="Arial" w:hAnsi="Arial" w:cs="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character" w:styleId="Hyperkobling">
    <w:name w:val="Hyperlink"/>
    <w:uiPriority w:val="99"/>
    <w:rPr>
      <w:strike w:val="0"/>
      <w:dstrike w:val="0"/>
      <w:color w:val="0099FF"/>
      <w:u w:val="none"/>
      <w:effect w:val="none"/>
    </w:rPr>
  </w:style>
  <w:style w:type="paragraph" w:customStyle="1" w:styleId="Overskrift">
    <w:name w:val="Overskrift"/>
    <w:basedOn w:val="Normal"/>
    <w:rPr>
      <w:rFonts w:ascii="Arial" w:hAnsi="Arial"/>
      <w:b/>
      <w:color w:val="000000"/>
      <w:sz w:val="32"/>
    </w:rPr>
  </w:style>
  <w:style w:type="paragraph" w:styleId="Brdtekst">
    <w:name w:val="Body Text"/>
    <w:basedOn w:val="Normal"/>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lang w:eastAsia="nb-NO"/>
    </w:rPr>
  </w:style>
  <w:style w:type="character" w:styleId="Fulgthyperkobling">
    <w:name w:val="FollowedHyperlink"/>
    <w:rPr>
      <w:color w:val="800080"/>
      <w:u w:val="single"/>
    </w:rPr>
  </w:style>
  <w:style w:type="paragraph" w:styleId="Dokumentkart">
    <w:name w:val="Document Map"/>
    <w:basedOn w:val="Normal"/>
    <w:semiHidden/>
    <w:rsid w:val="00D1339E"/>
    <w:pPr>
      <w:shd w:val="clear" w:color="auto" w:fill="000080"/>
    </w:pPr>
    <w:rPr>
      <w:rFonts w:ascii="Tahoma" w:hAnsi="Tahoma" w:cs="Tahoma"/>
      <w:sz w:val="20"/>
    </w:rPr>
  </w:style>
  <w:style w:type="paragraph" w:styleId="Bobletekst">
    <w:name w:val="Balloon Text"/>
    <w:basedOn w:val="Normal"/>
    <w:semiHidden/>
    <w:rsid w:val="00D1339E"/>
    <w:rPr>
      <w:rFonts w:ascii="Tahoma" w:hAnsi="Tahoma" w:cs="Tahoma"/>
      <w:sz w:val="16"/>
      <w:szCs w:val="16"/>
    </w:rPr>
  </w:style>
  <w:style w:type="character" w:styleId="Merknadsreferanse">
    <w:name w:val="annotation reference"/>
    <w:semiHidden/>
    <w:rsid w:val="00D1339E"/>
    <w:rPr>
      <w:sz w:val="16"/>
      <w:szCs w:val="16"/>
    </w:rPr>
  </w:style>
  <w:style w:type="paragraph" w:styleId="Merknadstekst">
    <w:name w:val="annotation text"/>
    <w:basedOn w:val="Normal"/>
    <w:semiHidden/>
    <w:rsid w:val="00D1339E"/>
    <w:rPr>
      <w:sz w:val="20"/>
    </w:rPr>
  </w:style>
  <w:style w:type="paragraph" w:styleId="Kommentaremne">
    <w:name w:val="annotation subject"/>
    <w:basedOn w:val="Merknadstekst"/>
    <w:next w:val="Merknadstekst"/>
    <w:semiHidden/>
    <w:rsid w:val="00D1339E"/>
    <w:rPr>
      <w:b/>
      <w:bCs/>
    </w:rPr>
  </w:style>
  <w:style w:type="paragraph" w:customStyle="1" w:styleId="CM3">
    <w:name w:val="CM3"/>
    <w:basedOn w:val="Normal"/>
    <w:next w:val="Normal"/>
    <w:rsid w:val="00F8785E"/>
    <w:pPr>
      <w:autoSpaceDE w:val="0"/>
      <w:autoSpaceDN w:val="0"/>
      <w:adjustRightInd w:val="0"/>
      <w:spacing w:line="258" w:lineRule="atLeast"/>
    </w:pPr>
    <w:rPr>
      <w:rFonts w:ascii="Century Old Style" w:hAnsi="Century Old Style"/>
      <w:szCs w:val="24"/>
      <w:lang w:eastAsia="nb-NO"/>
    </w:rPr>
  </w:style>
  <w:style w:type="paragraph" w:customStyle="1" w:styleId="CM9">
    <w:name w:val="CM9"/>
    <w:basedOn w:val="Normal"/>
    <w:next w:val="Normal"/>
    <w:rsid w:val="00F8785E"/>
    <w:pPr>
      <w:autoSpaceDE w:val="0"/>
      <w:autoSpaceDN w:val="0"/>
      <w:adjustRightInd w:val="0"/>
      <w:spacing w:line="256" w:lineRule="atLeast"/>
    </w:pPr>
    <w:rPr>
      <w:rFonts w:ascii="Century Old Style" w:hAnsi="Century Old Style"/>
      <w:szCs w:val="24"/>
      <w:lang w:eastAsia="nb-NO"/>
    </w:rPr>
  </w:style>
  <w:style w:type="paragraph" w:styleId="Fotnotetekst">
    <w:name w:val="footnote text"/>
    <w:basedOn w:val="Normal"/>
    <w:link w:val="FotnotetekstTegn"/>
    <w:semiHidden/>
    <w:rsid w:val="001A512D"/>
    <w:rPr>
      <w:sz w:val="20"/>
    </w:rPr>
  </w:style>
  <w:style w:type="character" w:styleId="Fotnotereferanse">
    <w:name w:val="footnote reference"/>
    <w:semiHidden/>
    <w:rsid w:val="001A512D"/>
    <w:rPr>
      <w:vertAlign w:val="superscript"/>
    </w:rPr>
  </w:style>
  <w:style w:type="character" w:customStyle="1" w:styleId="k-text">
    <w:name w:val="k-text"/>
    <w:basedOn w:val="Standardskriftforavsnitt"/>
    <w:rsid w:val="0010315B"/>
  </w:style>
  <w:style w:type="character" w:customStyle="1" w:styleId="FotnotetekstTegn">
    <w:name w:val="Fotnotetekst Tegn"/>
    <w:link w:val="Fotnotetekst"/>
    <w:rsid w:val="00763937"/>
    <w:rPr>
      <w:lang w:val="nb-NO" w:eastAsia="en-US" w:bidi="ar-SA"/>
    </w:rPr>
  </w:style>
  <w:style w:type="paragraph" w:styleId="Listeavsnitt">
    <w:name w:val="List Paragraph"/>
    <w:basedOn w:val="Normal"/>
    <w:uiPriority w:val="34"/>
    <w:qFormat/>
    <w:rsid w:val="007A11D3"/>
    <w:pPr>
      <w:spacing w:after="160" w:line="259" w:lineRule="auto"/>
      <w:ind w:left="720"/>
      <w:contextualSpacing/>
    </w:pPr>
    <w:rPr>
      <w:rFonts w:ascii="Calibri" w:eastAsia="Calibri" w:hAnsi="Calibri"/>
      <w:sz w:val="22"/>
      <w:szCs w:val="22"/>
    </w:rPr>
  </w:style>
  <w:style w:type="table" w:styleId="Tabellrutenett">
    <w:name w:val="Table Grid"/>
    <w:basedOn w:val="Vanligtabell"/>
    <w:rsid w:val="007A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86626"/>
    <w:pPr>
      <w:keepLines/>
      <w:spacing w:line="259" w:lineRule="auto"/>
      <w:outlineLvl w:val="9"/>
    </w:pPr>
    <w:rPr>
      <w:rFonts w:ascii="Calibri Light" w:hAnsi="Calibri Light"/>
      <w:b/>
      <w:bCs/>
      <w:lang w:eastAsia="nb-NO"/>
    </w:rPr>
  </w:style>
  <w:style w:type="paragraph" w:styleId="INNH1">
    <w:name w:val="toc 1"/>
    <w:basedOn w:val="Normal"/>
    <w:next w:val="Normal"/>
    <w:autoRedefine/>
    <w:uiPriority w:val="39"/>
    <w:rsid w:val="000E1063"/>
    <w:pPr>
      <w:tabs>
        <w:tab w:val="left" w:pos="440"/>
        <w:tab w:val="right" w:leader="dot" w:pos="9060"/>
      </w:tabs>
    </w:pPr>
  </w:style>
  <w:style w:type="paragraph" w:styleId="INNH2">
    <w:name w:val="toc 2"/>
    <w:basedOn w:val="Normal"/>
    <w:next w:val="Normal"/>
    <w:autoRedefine/>
    <w:uiPriority w:val="39"/>
    <w:rsid w:val="000E1063"/>
    <w:pPr>
      <w:tabs>
        <w:tab w:val="left" w:pos="880"/>
        <w:tab w:val="right" w:leader="dot" w:pos="9060"/>
      </w:tabs>
      <w:ind w:left="240"/>
    </w:pPr>
  </w:style>
  <w:style w:type="paragraph" w:customStyle="1" w:styleId="Default">
    <w:name w:val="Default"/>
    <w:rsid w:val="00F454AF"/>
    <w:pPr>
      <w:autoSpaceDE w:val="0"/>
      <w:autoSpaceDN w:val="0"/>
      <w:adjustRightInd w:val="0"/>
    </w:pPr>
    <w:rPr>
      <w:color w:val="000000"/>
      <w:sz w:val="24"/>
      <w:szCs w:val="24"/>
    </w:rPr>
  </w:style>
  <w:style w:type="paragraph" w:styleId="Revisjon">
    <w:name w:val="Revision"/>
    <w:hidden/>
    <w:uiPriority w:val="99"/>
    <w:semiHidden/>
    <w:rsid w:val="000E10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0331">
      <w:bodyDiv w:val="1"/>
      <w:marLeft w:val="75"/>
      <w:marRight w:val="75"/>
      <w:marTop w:val="75"/>
      <w:marBottom w:val="75"/>
      <w:divBdr>
        <w:top w:val="none" w:sz="0" w:space="0" w:color="auto"/>
        <w:left w:val="none" w:sz="0" w:space="0" w:color="auto"/>
        <w:bottom w:val="none" w:sz="0" w:space="0" w:color="auto"/>
        <w:right w:val="none" w:sz="0" w:space="0" w:color="auto"/>
      </w:divBdr>
      <w:divsChild>
        <w:div w:id="1750271731">
          <w:marLeft w:val="0"/>
          <w:marRight w:val="0"/>
          <w:marTop w:val="450"/>
          <w:marBottom w:val="0"/>
          <w:divBdr>
            <w:top w:val="none" w:sz="0" w:space="0" w:color="auto"/>
            <w:left w:val="none" w:sz="0" w:space="0" w:color="auto"/>
            <w:bottom w:val="none" w:sz="0" w:space="0" w:color="auto"/>
            <w:right w:val="none" w:sz="0" w:space="0" w:color="auto"/>
          </w:divBdr>
          <w:divsChild>
            <w:div w:id="376510278">
              <w:marLeft w:val="0"/>
              <w:marRight w:val="0"/>
              <w:marTop w:val="0"/>
              <w:marBottom w:val="0"/>
              <w:divBdr>
                <w:top w:val="single" w:sz="6" w:space="0" w:color="7F7F7F"/>
                <w:left w:val="single" w:sz="6" w:space="0" w:color="7F7F7F"/>
                <w:bottom w:val="single" w:sz="6" w:space="0" w:color="7F7F7F"/>
                <w:right w:val="single" w:sz="6" w:space="0" w:color="7F7F7F"/>
              </w:divBdr>
              <w:divsChild>
                <w:div w:id="210307453">
                  <w:marLeft w:val="0"/>
                  <w:marRight w:val="0"/>
                  <w:marTop w:val="0"/>
                  <w:marBottom w:val="0"/>
                  <w:divBdr>
                    <w:top w:val="none" w:sz="0" w:space="0" w:color="auto"/>
                    <w:left w:val="none" w:sz="0" w:space="0" w:color="41566B"/>
                    <w:bottom w:val="none" w:sz="0" w:space="0" w:color="auto"/>
                    <w:right w:val="none" w:sz="0" w:space="0" w:color="F2F0E1"/>
                  </w:divBdr>
                  <w:divsChild>
                    <w:div w:id="1381634453">
                      <w:marLeft w:val="0"/>
                      <w:marRight w:val="0"/>
                      <w:marTop w:val="0"/>
                      <w:marBottom w:val="0"/>
                      <w:divBdr>
                        <w:top w:val="none" w:sz="0" w:space="0" w:color="auto"/>
                        <w:left w:val="none" w:sz="0" w:space="0" w:color="auto"/>
                        <w:bottom w:val="none" w:sz="0" w:space="0" w:color="auto"/>
                        <w:right w:val="none" w:sz="0" w:space="0" w:color="auto"/>
                      </w:divBdr>
                      <w:divsChild>
                        <w:div w:id="1733193948">
                          <w:marLeft w:val="0"/>
                          <w:marRight w:val="0"/>
                          <w:marTop w:val="0"/>
                          <w:marBottom w:val="0"/>
                          <w:divBdr>
                            <w:top w:val="none" w:sz="0" w:space="0" w:color="auto"/>
                            <w:left w:val="none" w:sz="0" w:space="0" w:color="auto"/>
                            <w:bottom w:val="none" w:sz="0" w:space="0" w:color="auto"/>
                            <w:right w:val="none" w:sz="0" w:space="0" w:color="auto"/>
                          </w:divBdr>
                          <w:divsChild>
                            <w:div w:id="1530409416">
                              <w:marLeft w:val="0"/>
                              <w:marRight w:val="0"/>
                              <w:marTop w:val="0"/>
                              <w:marBottom w:val="0"/>
                              <w:divBdr>
                                <w:top w:val="none" w:sz="0" w:space="0" w:color="auto"/>
                                <w:left w:val="none" w:sz="0" w:space="0" w:color="auto"/>
                                <w:bottom w:val="none" w:sz="0" w:space="0" w:color="auto"/>
                                <w:right w:val="none" w:sz="0" w:space="0" w:color="auto"/>
                              </w:divBdr>
                              <w:divsChild>
                                <w:div w:id="1619793660">
                                  <w:marLeft w:val="0"/>
                                  <w:marRight w:val="0"/>
                                  <w:marTop w:val="0"/>
                                  <w:marBottom w:val="0"/>
                                  <w:divBdr>
                                    <w:top w:val="none" w:sz="0" w:space="0" w:color="auto"/>
                                    <w:left w:val="none" w:sz="0" w:space="0" w:color="auto"/>
                                    <w:bottom w:val="single" w:sz="6" w:space="0" w:color="E5E9C2"/>
                                    <w:right w:val="none" w:sz="0" w:space="0" w:color="auto"/>
                                  </w:divBdr>
                                  <w:divsChild>
                                    <w:div w:id="1051423354">
                                      <w:marLeft w:val="0"/>
                                      <w:marRight w:val="0"/>
                                      <w:marTop w:val="0"/>
                                      <w:marBottom w:val="0"/>
                                      <w:divBdr>
                                        <w:top w:val="none" w:sz="0" w:space="0" w:color="auto"/>
                                        <w:left w:val="none" w:sz="0" w:space="0" w:color="auto"/>
                                        <w:bottom w:val="none" w:sz="0" w:space="0" w:color="auto"/>
                                        <w:right w:val="none" w:sz="0" w:space="0" w:color="auto"/>
                                      </w:divBdr>
                                      <w:divsChild>
                                        <w:div w:id="1402487467">
                                          <w:marLeft w:val="0"/>
                                          <w:marRight w:val="0"/>
                                          <w:marTop w:val="0"/>
                                          <w:marBottom w:val="0"/>
                                          <w:divBdr>
                                            <w:top w:val="none" w:sz="0" w:space="0" w:color="auto"/>
                                            <w:left w:val="none" w:sz="0" w:space="0" w:color="auto"/>
                                            <w:bottom w:val="none" w:sz="0" w:space="0" w:color="auto"/>
                                            <w:right w:val="none" w:sz="0" w:space="0" w:color="auto"/>
                                          </w:divBdr>
                                          <w:divsChild>
                                            <w:div w:id="1592740448">
                                              <w:marLeft w:val="0"/>
                                              <w:marRight w:val="0"/>
                                              <w:marTop w:val="0"/>
                                              <w:marBottom w:val="0"/>
                                              <w:divBdr>
                                                <w:top w:val="none" w:sz="0" w:space="0" w:color="auto"/>
                                                <w:left w:val="none" w:sz="0" w:space="0" w:color="auto"/>
                                                <w:bottom w:val="none" w:sz="0" w:space="0" w:color="auto"/>
                                                <w:right w:val="none" w:sz="0" w:space="0" w:color="auto"/>
                                              </w:divBdr>
                                              <w:divsChild>
                                                <w:div w:id="1965311113">
                                                  <w:marLeft w:val="0"/>
                                                  <w:marRight w:val="0"/>
                                                  <w:marTop w:val="0"/>
                                                  <w:marBottom w:val="0"/>
                                                  <w:divBdr>
                                                    <w:top w:val="none" w:sz="0" w:space="0" w:color="auto"/>
                                                    <w:left w:val="none" w:sz="0" w:space="0" w:color="auto"/>
                                                    <w:bottom w:val="none" w:sz="0" w:space="0" w:color="auto"/>
                                                    <w:right w:val="none" w:sz="0" w:space="0" w:color="auto"/>
                                                  </w:divBdr>
                                                  <w:divsChild>
                                                    <w:div w:id="92214029">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074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4-06-25-988/KAPITTEL_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bfd8652-9f54-45a4-9684-efa1596a618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483B77BC2D09C48AEAE6DE6282CE09C" ma:contentTypeVersion="12" ma:contentTypeDescription="Opprett et nytt dokument." ma:contentTypeScope="" ma:versionID="28df7d82c815daa60945712cda3b0d23">
  <xsd:schema xmlns:xsd="http://www.w3.org/2001/XMLSchema" xmlns:xs="http://www.w3.org/2001/XMLSchema" xmlns:p="http://schemas.microsoft.com/office/2006/metadata/properties" xmlns:ns2="5371e8e2-a9e8-46df-a91b-761db99c8728" xmlns:ns3="7bfd8652-9f54-45a4-9684-efa1596a6182" targetNamespace="http://schemas.microsoft.com/office/2006/metadata/properties" ma:root="true" ma:fieldsID="3deba822f8efc741dba0ffe443339541" ns2:_="" ns3:_="">
    <xsd:import namespace="5371e8e2-a9e8-46df-a91b-761db99c8728"/>
    <xsd:import namespace="7bfd8652-9f54-45a4-9684-efa1596a6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DEA41-1B3D-4892-B308-4B9FAF5DF485}">
  <ds:schemaRefs>
    <ds:schemaRef ds:uri="http://schemas.openxmlformats.org/officeDocument/2006/bibliography"/>
  </ds:schemaRefs>
</ds:datastoreItem>
</file>

<file path=customXml/itemProps2.xml><?xml version="1.0" encoding="utf-8"?>
<ds:datastoreItem xmlns:ds="http://schemas.openxmlformats.org/officeDocument/2006/customXml" ds:itemID="{3899F647-958F-4E46-858E-94AB91DD7773}">
  <ds:schemaRefs>
    <ds:schemaRef ds:uri="http://schemas.microsoft.com/office/2006/metadata/properties"/>
    <ds:schemaRef ds:uri="http://schemas.microsoft.com/office/infopath/2007/PartnerControls"/>
    <ds:schemaRef ds:uri="7bfd8652-9f54-45a4-9684-efa1596a6182"/>
  </ds:schemaRefs>
</ds:datastoreItem>
</file>

<file path=customXml/itemProps3.xml><?xml version="1.0" encoding="utf-8"?>
<ds:datastoreItem xmlns:ds="http://schemas.openxmlformats.org/officeDocument/2006/customXml" ds:itemID="{BCD5B46B-67AE-48A1-802B-493C730C56EF}">
  <ds:schemaRefs>
    <ds:schemaRef ds:uri="http://schemas.microsoft.com/sharepoint/v3/contenttype/forms"/>
  </ds:schemaRefs>
</ds:datastoreItem>
</file>

<file path=customXml/itemProps4.xml><?xml version="1.0" encoding="utf-8"?>
<ds:datastoreItem xmlns:ds="http://schemas.openxmlformats.org/officeDocument/2006/customXml" ds:itemID="{6CE94DF6-CE5C-48AE-A905-B8928CE42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1944</Words>
  <Characters>10305</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12225</CharactersWithSpaces>
  <SharedDoc>false</SharedDoc>
  <HLinks>
    <vt:vector size="60" baseType="variant">
      <vt:variant>
        <vt:i4>1376305</vt:i4>
      </vt:variant>
      <vt:variant>
        <vt:i4>56</vt:i4>
      </vt:variant>
      <vt:variant>
        <vt:i4>0</vt:i4>
      </vt:variant>
      <vt:variant>
        <vt:i4>5</vt:i4>
      </vt:variant>
      <vt:variant>
        <vt:lpwstr/>
      </vt:variant>
      <vt:variant>
        <vt:lpwstr>_Toc464412020</vt:lpwstr>
      </vt:variant>
      <vt:variant>
        <vt:i4>1441841</vt:i4>
      </vt:variant>
      <vt:variant>
        <vt:i4>50</vt:i4>
      </vt:variant>
      <vt:variant>
        <vt:i4>0</vt:i4>
      </vt:variant>
      <vt:variant>
        <vt:i4>5</vt:i4>
      </vt:variant>
      <vt:variant>
        <vt:lpwstr/>
      </vt:variant>
      <vt:variant>
        <vt:lpwstr>_Toc464412019</vt:lpwstr>
      </vt:variant>
      <vt:variant>
        <vt:i4>1441841</vt:i4>
      </vt:variant>
      <vt:variant>
        <vt:i4>44</vt:i4>
      </vt:variant>
      <vt:variant>
        <vt:i4>0</vt:i4>
      </vt:variant>
      <vt:variant>
        <vt:i4>5</vt:i4>
      </vt:variant>
      <vt:variant>
        <vt:lpwstr/>
      </vt:variant>
      <vt:variant>
        <vt:lpwstr>_Toc464412018</vt:lpwstr>
      </vt:variant>
      <vt:variant>
        <vt:i4>1441841</vt:i4>
      </vt:variant>
      <vt:variant>
        <vt:i4>38</vt:i4>
      </vt:variant>
      <vt:variant>
        <vt:i4>0</vt:i4>
      </vt:variant>
      <vt:variant>
        <vt:i4>5</vt:i4>
      </vt:variant>
      <vt:variant>
        <vt:lpwstr/>
      </vt:variant>
      <vt:variant>
        <vt:lpwstr>_Toc464412017</vt:lpwstr>
      </vt:variant>
      <vt:variant>
        <vt:i4>1441841</vt:i4>
      </vt:variant>
      <vt:variant>
        <vt:i4>32</vt:i4>
      </vt:variant>
      <vt:variant>
        <vt:i4>0</vt:i4>
      </vt:variant>
      <vt:variant>
        <vt:i4>5</vt:i4>
      </vt:variant>
      <vt:variant>
        <vt:lpwstr/>
      </vt:variant>
      <vt:variant>
        <vt:lpwstr>_Toc464412016</vt:lpwstr>
      </vt:variant>
      <vt:variant>
        <vt:i4>1441841</vt:i4>
      </vt:variant>
      <vt:variant>
        <vt:i4>26</vt:i4>
      </vt:variant>
      <vt:variant>
        <vt:i4>0</vt:i4>
      </vt:variant>
      <vt:variant>
        <vt:i4>5</vt:i4>
      </vt:variant>
      <vt:variant>
        <vt:lpwstr/>
      </vt:variant>
      <vt:variant>
        <vt:lpwstr>_Toc464412015</vt:lpwstr>
      </vt:variant>
      <vt:variant>
        <vt:i4>1441841</vt:i4>
      </vt:variant>
      <vt:variant>
        <vt:i4>20</vt:i4>
      </vt:variant>
      <vt:variant>
        <vt:i4>0</vt:i4>
      </vt:variant>
      <vt:variant>
        <vt:i4>5</vt:i4>
      </vt:variant>
      <vt:variant>
        <vt:lpwstr/>
      </vt:variant>
      <vt:variant>
        <vt:lpwstr>_Toc464412014</vt:lpwstr>
      </vt:variant>
      <vt:variant>
        <vt:i4>1441841</vt:i4>
      </vt:variant>
      <vt:variant>
        <vt:i4>14</vt:i4>
      </vt:variant>
      <vt:variant>
        <vt:i4>0</vt:i4>
      </vt:variant>
      <vt:variant>
        <vt:i4>5</vt:i4>
      </vt:variant>
      <vt:variant>
        <vt:lpwstr/>
      </vt:variant>
      <vt:variant>
        <vt:lpwstr>_Toc464412013</vt:lpwstr>
      </vt:variant>
      <vt:variant>
        <vt:i4>1441841</vt:i4>
      </vt:variant>
      <vt:variant>
        <vt:i4>8</vt:i4>
      </vt:variant>
      <vt:variant>
        <vt:i4>0</vt:i4>
      </vt:variant>
      <vt:variant>
        <vt:i4>5</vt:i4>
      </vt:variant>
      <vt:variant>
        <vt:lpwstr/>
      </vt:variant>
      <vt:variant>
        <vt:lpwstr>_Toc464412012</vt:lpwstr>
      </vt:variant>
      <vt:variant>
        <vt:i4>1441841</vt:i4>
      </vt:variant>
      <vt:variant>
        <vt:i4>2</vt:i4>
      </vt:variant>
      <vt:variant>
        <vt:i4>0</vt:i4>
      </vt:variant>
      <vt:variant>
        <vt:i4>5</vt:i4>
      </vt:variant>
      <vt:variant>
        <vt:lpwstr/>
      </vt:variant>
      <vt:variant>
        <vt:lpwstr>_Toc464412011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Svendsen, Katrine Aam</cp:lastModifiedBy>
  <cp:revision>12</cp:revision>
  <dcterms:created xsi:type="dcterms:W3CDTF">2020-06-24T13:01:00Z</dcterms:created>
  <dcterms:modified xsi:type="dcterms:W3CDTF">2021-12-15T22:47:00Z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0x0101003483B77BC2D09C48AEAE6DE6282CE09C</vt:lpwstr>
  </property>
  <property fmtid="{D5CDD505-2E9C-101B-9397-08002B2CF9AE}" pid="3" name="Order">
    <vt:r8>384100</vt:r8>
  </property>
  <property fmtid="{D5CDD505-2E9C-101B-9397-08002B2CF9AE}" pid="4" name="ComplianceAssetId">
    <vt:lpwstr/>
  </property>
  <property fmtid="{D5CDD505-2E9C-101B-9397-08002B2CF9AE}" pid="5" name="_ExtendedDescription">
    <vt:lpwstr/>
  </property>
</Properties>
</file>